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1B2B" w14:textId="77777777" w:rsidR="00323D50" w:rsidRDefault="00323D50"/>
    <w:p w14:paraId="16770243" w14:textId="77777777" w:rsidR="00323D50" w:rsidRPr="00323D50" w:rsidRDefault="00323D50" w:rsidP="00323D50"/>
    <w:p w14:paraId="6E9E7C4F" w14:textId="77777777" w:rsidR="00323D50" w:rsidRPr="00323D50" w:rsidRDefault="00323D50" w:rsidP="00323D50"/>
    <w:p w14:paraId="5113D6D6" w14:textId="77777777" w:rsidR="00323D50" w:rsidRPr="00323D50" w:rsidRDefault="00323D50" w:rsidP="00323D50"/>
    <w:p w14:paraId="0125BE91" w14:textId="77777777" w:rsidR="00323D50" w:rsidRPr="00323D50" w:rsidRDefault="00323D50" w:rsidP="00323D50"/>
    <w:p w14:paraId="200C6697" w14:textId="77777777" w:rsidR="00323D50" w:rsidRPr="00323D50" w:rsidRDefault="00323D50" w:rsidP="00323D50"/>
    <w:p w14:paraId="16C88540" w14:textId="77777777" w:rsidR="00323D50" w:rsidRPr="00323D50" w:rsidRDefault="00323D50" w:rsidP="00323D50"/>
    <w:p w14:paraId="25ACB7CA" w14:textId="1EE82B84" w:rsidR="00323D50" w:rsidRPr="00323D50" w:rsidRDefault="00784D83" w:rsidP="00784D83">
      <w:pPr>
        <w:jc w:val="center"/>
      </w:pPr>
      <w:r>
        <w:rPr>
          <w:noProof/>
          <w:lang w:val="en-US"/>
        </w:rPr>
        <w:drawing>
          <wp:inline distT="0" distB="0" distL="0" distR="0" wp14:anchorId="28531F8F" wp14:editId="084374E5">
            <wp:extent cx="1774825" cy="177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825" cy="1774825"/>
                    </a:xfrm>
                    <a:prstGeom prst="rect">
                      <a:avLst/>
                    </a:prstGeom>
                    <a:noFill/>
                    <a:ln>
                      <a:noFill/>
                    </a:ln>
                  </pic:spPr>
                </pic:pic>
              </a:graphicData>
            </a:graphic>
          </wp:inline>
        </w:drawing>
      </w:r>
    </w:p>
    <w:p w14:paraId="6E137FCF" w14:textId="77777777" w:rsidR="00323D50" w:rsidRPr="00323D50" w:rsidRDefault="00323D50" w:rsidP="00323D50"/>
    <w:p w14:paraId="7D1B0BF6" w14:textId="77777777" w:rsidR="00323D50" w:rsidRPr="00323D50" w:rsidRDefault="00323D50" w:rsidP="00323D50">
      <w:pPr>
        <w:jc w:val="center"/>
      </w:pPr>
    </w:p>
    <w:p w14:paraId="11A6EA36" w14:textId="77777777" w:rsidR="00323D50" w:rsidRPr="00323D50" w:rsidRDefault="00323D50" w:rsidP="00323D50">
      <w:pPr>
        <w:pStyle w:val="Title"/>
        <w:jc w:val="center"/>
        <w:rPr>
          <w:b/>
        </w:rPr>
      </w:pPr>
      <w:r>
        <w:rPr>
          <w:b/>
        </w:rPr>
        <w:t>EdStart - Specialist Education Ltd.</w:t>
      </w:r>
    </w:p>
    <w:p w14:paraId="4B73C740" w14:textId="77777777" w:rsidR="00323D50" w:rsidRPr="00323D50" w:rsidRDefault="00323D50" w:rsidP="00323D50"/>
    <w:p w14:paraId="33AFAD7B" w14:textId="77777777" w:rsidR="00323D50" w:rsidRPr="00A87E06" w:rsidRDefault="0032773F" w:rsidP="00A87E06">
      <w:pPr>
        <w:pStyle w:val="Title"/>
        <w:jc w:val="center"/>
        <w:rPr>
          <w:b/>
        </w:rPr>
      </w:pPr>
      <w:r>
        <w:rPr>
          <w:b/>
        </w:rPr>
        <w:t xml:space="preserve">ADMISSIONS </w:t>
      </w:r>
      <w:r w:rsidR="00835D74">
        <w:rPr>
          <w:b/>
        </w:rPr>
        <w:t>POLICY</w:t>
      </w:r>
    </w:p>
    <w:p w14:paraId="759F093E" w14:textId="77777777" w:rsidR="00323D50" w:rsidRPr="00323D50" w:rsidRDefault="00323D50" w:rsidP="00323D50"/>
    <w:tbl>
      <w:tblPr>
        <w:tblStyle w:val="GridTable1Light-Accent11"/>
        <w:tblW w:w="7513" w:type="dxa"/>
        <w:jc w:val="center"/>
        <w:tblLook w:val="04A0" w:firstRow="1" w:lastRow="0" w:firstColumn="1" w:lastColumn="0" w:noHBand="0" w:noVBand="1"/>
      </w:tblPr>
      <w:tblGrid>
        <w:gridCol w:w="3946"/>
        <w:gridCol w:w="3567"/>
      </w:tblGrid>
      <w:tr w:rsidR="00BE01DE" w:rsidRPr="00323D50" w14:paraId="315BD157" w14:textId="77777777" w:rsidTr="00BE01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6" w:type="dxa"/>
            <w:shd w:val="clear" w:color="auto" w:fill="DEEAF6" w:themeFill="accent1" w:themeFillTint="33"/>
          </w:tcPr>
          <w:p w14:paraId="71328D40" w14:textId="77777777" w:rsidR="00BE01DE" w:rsidRPr="00323D50" w:rsidRDefault="00BE01DE" w:rsidP="00AC5A69">
            <w:pPr>
              <w:pStyle w:val="Title"/>
              <w:jc w:val="center"/>
              <w:rPr>
                <w:rFonts w:ascii="Arial" w:hAnsi="Arial" w:cs="Arial"/>
                <w:b w:val="0"/>
                <w:sz w:val="32"/>
              </w:rPr>
            </w:pPr>
            <w:r w:rsidRPr="00323D50">
              <w:rPr>
                <w:rFonts w:ascii="Arial" w:hAnsi="Arial" w:cs="Arial"/>
                <w:sz w:val="32"/>
              </w:rPr>
              <w:t>Policy Reviewed</w:t>
            </w:r>
          </w:p>
        </w:tc>
        <w:tc>
          <w:tcPr>
            <w:tcW w:w="3567" w:type="dxa"/>
            <w:shd w:val="clear" w:color="auto" w:fill="DEEAF6" w:themeFill="accent1" w:themeFillTint="33"/>
          </w:tcPr>
          <w:p w14:paraId="3B61C8A9" w14:textId="13F97BCD" w:rsidR="00BE01DE" w:rsidRPr="00AC5A69" w:rsidRDefault="00581DE7" w:rsidP="00DB072F">
            <w:pPr>
              <w:pStyle w:val="Title"/>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32"/>
              </w:rPr>
            </w:pPr>
            <w:r>
              <w:rPr>
                <w:rFonts w:ascii="Arial" w:hAnsi="Arial" w:cs="Arial"/>
                <w:b w:val="0"/>
                <w:sz w:val="32"/>
              </w:rPr>
              <w:t xml:space="preserve">October </w:t>
            </w:r>
            <w:r w:rsidR="00784D83">
              <w:rPr>
                <w:rFonts w:ascii="Arial" w:hAnsi="Arial" w:cs="Arial"/>
                <w:b w:val="0"/>
                <w:sz w:val="32"/>
              </w:rPr>
              <w:t>202</w:t>
            </w:r>
            <w:r w:rsidR="00813A72">
              <w:rPr>
                <w:rFonts w:ascii="Arial" w:hAnsi="Arial" w:cs="Arial"/>
                <w:b w:val="0"/>
                <w:sz w:val="32"/>
              </w:rPr>
              <w:t>1</w:t>
            </w:r>
          </w:p>
        </w:tc>
      </w:tr>
      <w:tr w:rsidR="00BE01DE" w:rsidRPr="00323D50" w14:paraId="7082FB3A" w14:textId="77777777" w:rsidTr="00BE01DE">
        <w:trPr>
          <w:jc w:val="center"/>
        </w:trPr>
        <w:tc>
          <w:tcPr>
            <w:cnfStyle w:val="001000000000" w:firstRow="0" w:lastRow="0" w:firstColumn="1" w:lastColumn="0" w:oddVBand="0" w:evenVBand="0" w:oddHBand="0" w:evenHBand="0" w:firstRowFirstColumn="0" w:firstRowLastColumn="0" w:lastRowFirstColumn="0" w:lastRowLastColumn="0"/>
            <w:tcW w:w="3946" w:type="dxa"/>
            <w:shd w:val="clear" w:color="auto" w:fill="DEEAF6" w:themeFill="accent1" w:themeFillTint="33"/>
          </w:tcPr>
          <w:p w14:paraId="2A7AB732" w14:textId="77777777" w:rsidR="00BE01DE" w:rsidRPr="00323D50" w:rsidRDefault="00BE01DE" w:rsidP="00AC5A69">
            <w:pPr>
              <w:pStyle w:val="Title"/>
              <w:jc w:val="center"/>
              <w:rPr>
                <w:rFonts w:ascii="Arial" w:hAnsi="Arial" w:cs="Arial"/>
                <w:b w:val="0"/>
                <w:sz w:val="32"/>
              </w:rPr>
            </w:pPr>
            <w:r w:rsidRPr="00323D50">
              <w:rPr>
                <w:rFonts w:ascii="Arial" w:hAnsi="Arial" w:cs="Arial"/>
                <w:sz w:val="32"/>
              </w:rPr>
              <w:t>Review date</w:t>
            </w:r>
          </w:p>
        </w:tc>
        <w:tc>
          <w:tcPr>
            <w:tcW w:w="3567" w:type="dxa"/>
            <w:shd w:val="clear" w:color="auto" w:fill="DEEAF6" w:themeFill="accent1" w:themeFillTint="33"/>
          </w:tcPr>
          <w:p w14:paraId="40D2C2AB" w14:textId="12CE2852" w:rsidR="00BE01DE" w:rsidRPr="00323D50" w:rsidRDefault="00581DE7" w:rsidP="00DB072F">
            <w:pPr>
              <w:pStyle w:val="Title"/>
              <w:jc w:val="center"/>
              <w:cnfStyle w:val="000000000000" w:firstRow="0" w:lastRow="0" w:firstColumn="0" w:lastColumn="0" w:oddVBand="0" w:evenVBand="0" w:oddHBand="0" w:evenHBand="0" w:firstRowFirstColumn="0" w:firstRowLastColumn="0" w:lastRowFirstColumn="0" w:lastRowLastColumn="0"/>
              <w:rPr>
                <w:rFonts w:ascii="Arial" w:hAnsi="Arial" w:cs="Arial"/>
                <w:sz w:val="32"/>
              </w:rPr>
            </w:pPr>
            <w:r>
              <w:rPr>
                <w:rFonts w:ascii="Arial" w:hAnsi="Arial" w:cs="Arial"/>
                <w:sz w:val="32"/>
              </w:rPr>
              <w:t>September</w:t>
            </w:r>
            <w:r w:rsidR="00784D83">
              <w:rPr>
                <w:rFonts w:ascii="Arial" w:hAnsi="Arial" w:cs="Arial"/>
                <w:sz w:val="32"/>
              </w:rPr>
              <w:t xml:space="preserve"> 202</w:t>
            </w:r>
            <w:r w:rsidR="00813A72">
              <w:rPr>
                <w:rFonts w:ascii="Arial" w:hAnsi="Arial" w:cs="Arial"/>
                <w:sz w:val="32"/>
              </w:rPr>
              <w:t>2</w:t>
            </w:r>
          </w:p>
        </w:tc>
      </w:tr>
    </w:tbl>
    <w:p w14:paraId="6BECC97E" w14:textId="77777777" w:rsidR="00323D50" w:rsidRDefault="00323D50" w:rsidP="00323D50"/>
    <w:p w14:paraId="75FAD67D" w14:textId="77777777" w:rsidR="00A87E06" w:rsidRDefault="00A87E06" w:rsidP="00323D50"/>
    <w:p w14:paraId="33037305" w14:textId="77777777" w:rsidR="00A87E06" w:rsidRDefault="00A87E06" w:rsidP="00323D50"/>
    <w:p w14:paraId="2660592A" w14:textId="77777777" w:rsidR="00A87E06" w:rsidRPr="00323D50" w:rsidRDefault="00A87E06" w:rsidP="00323D50"/>
    <w:p w14:paraId="66106583" w14:textId="0094AE1E" w:rsidR="00532C29" w:rsidRDefault="00532C29" w:rsidP="003A61A3">
      <w:pPr>
        <w:spacing w:after="0"/>
        <w:rPr>
          <w:rFonts w:cstheme="minorHAnsi"/>
          <w:color w:val="000000"/>
          <w:sz w:val="24"/>
          <w:szCs w:val="24"/>
        </w:rPr>
      </w:pPr>
    </w:p>
    <w:p w14:paraId="62E86CB8" w14:textId="099FB50D" w:rsidR="00784D83" w:rsidRDefault="00784D83" w:rsidP="003A61A3">
      <w:pPr>
        <w:spacing w:after="0"/>
        <w:rPr>
          <w:rFonts w:cstheme="minorHAnsi"/>
          <w:color w:val="000000"/>
          <w:sz w:val="24"/>
          <w:szCs w:val="24"/>
        </w:rPr>
      </w:pPr>
    </w:p>
    <w:p w14:paraId="4EF1695F" w14:textId="1E643D73" w:rsidR="00784D83" w:rsidRDefault="00784D83" w:rsidP="003A61A3">
      <w:pPr>
        <w:spacing w:after="0"/>
        <w:rPr>
          <w:rFonts w:cstheme="minorHAnsi"/>
          <w:color w:val="000000"/>
          <w:sz w:val="24"/>
          <w:szCs w:val="24"/>
        </w:rPr>
      </w:pPr>
    </w:p>
    <w:p w14:paraId="069639C0" w14:textId="4C322D7A" w:rsidR="00784D83" w:rsidRDefault="00784D83" w:rsidP="003A61A3">
      <w:pPr>
        <w:spacing w:after="0"/>
        <w:rPr>
          <w:rFonts w:cstheme="minorHAnsi"/>
          <w:color w:val="000000"/>
          <w:sz w:val="24"/>
          <w:szCs w:val="24"/>
        </w:rPr>
      </w:pPr>
    </w:p>
    <w:p w14:paraId="3C077A09" w14:textId="05E18783" w:rsidR="00784D83" w:rsidRDefault="00784D83" w:rsidP="003A61A3">
      <w:pPr>
        <w:spacing w:after="0"/>
        <w:rPr>
          <w:rFonts w:cstheme="minorHAnsi"/>
          <w:color w:val="000000"/>
          <w:sz w:val="24"/>
          <w:szCs w:val="24"/>
        </w:rPr>
      </w:pPr>
    </w:p>
    <w:p w14:paraId="381850B5" w14:textId="77777777" w:rsidR="00784D83" w:rsidRDefault="00784D83" w:rsidP="003A61A3">
      <w:pPr>
        <w:spacing w:after="0"/>
        <w:rPr>
          <w:rFonts w:cstheme="minorHAnsi"/>
          <w:color w:val="000000"/>
          <w:sz w:val="24"/>
          <w:szCs w:val="24"/>
        </w:rPr>
      </w:pPr>
    </w:p>
    <w:p w14:paraId="0F40EAB0" w14:textId="77777777" w:rsidR="00532C29" w:rsidRPr="00CC623D" w:rsidRDefault="00532C29" w:rsidP="00532C29">
      <w:pPr>
        <w:pStyle w:val="Title"/>
        <w:jc w:val="center"/>
        <w:rPr>
          <w:b/>
          <w:sz w:val="40"/>
        </w:rPr>
      </w:pPr>
      <w:r>
        <w:rPr>
          <w:b/>
          <w:sz w:val="40"/>
        </w:rPr>
        <w:lastRenderedPageBreak/>
        <w:t>CONTENTS</w:t>
      </w:r>
    </w:p>
    <w:p w14:paraId="48782D04" w14:textId="77777777" w:rsidR="00532C29" w:rsidRDefault="00532C29" w:rsidP="00532C29"/>
    <w:tbl>
      <w:tblPr>
        <w:tblStyle w:val="TableGrid"/>
        <w:tblW w:w="9209"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75"/>
        <w:gridCol w:w="8134"/>
      </w:tblGrid>
      <w:tr w:rsidR="00532C29" w14:paraId="3E85268B" w14:textId="77777777" w:rsidTr="0047386C">
        <w:trPr>
          <w:trHeight w:val="485"/>
        </w:trPr>
        <w:tc>
          <w:tcPr>
            <w:tcW w:w="1075" w:type="dxa"/>
          </w:tcPr>
          <w:p w14:paraId="4563CC71" w14:textId="77777777" w:rsidR="00532C29" w:rsidRPr="00CC623D" w:rsidRDefault="00532C29" w:rsidP="0047386C">
            <w:pPr>
              <w:rPr>
                <w:b/>
                <w:sz w:val="28"/>
              </w:rPr>
            </w:pPr>
            <w:r w:rsidRPr="00CC623D">
              <w:rPr>
                <w:b/>
                <w:sz w:val="28"/>
              </w:rPr>
              <w:t>1.</w:t>
            </w:r>
          </w:p>
        </w:tc>
        <w:tc>
          <w:tcPr>
            <w:tcW w:w="8134" w:type="dxa"/>
          </w:tcPr>
          <w:p w14:paraId="20A6EAA9" w14:textId="2AC77111" w:rsidR="00532C29" w:rsidRPr="00847D29" w:rsidRDefault="005D368E" w:rsidP="0047386C">
            <w:pPr>
              <w:spacing w:after="120"/>
              <w:jc w:val="both"/>
              <w:rPr>
                <w:rFonts w:cstheme="minorHAnsi"/>
                <w:b/>
                <w:sz w:val="28"/>
                <w:szCs w:val="28"/>
              </w:rPr>
            </w:pPr>
            <w:r>
              <w:rPr>
                <w:rFonts w:cstheme="minorHAnsi"/>
                <w:b/>
                <w:sz w:val="28"/>
                <w:szCs w:val="28"/>
              </w:rPr>
              <w:t>Introduction</w:t>
            </w:r>
          </w:p>
        </w:tc>
      </w:tr>
      <w:tr w:rsidR="005D368E" w14:paraId="70F72333" w14:textId="77777777" w:rsidTr="0047386C">
        <w:trPr>
          <w:trHeight w:val="485"/>
        </w:trPr>
        <w:tc>
          <w:tcPr>
            <w:tcW w:w="1075" w:type="dxa"/>
          </w:tcPr>
          <w:p w14:paraId="39AF9986" w14:textId="6161A87A" w:rsidR="005D368E" w:rsidRPr="00CC623D" w:rsidRDefault="005D368E" w:rsidP="0047386C">
            <w:pPr>
              <w:rPr>
                <w:b/>
                <w:sz w:val="28"/>
              </w:rPr>
            </w:pPr>
            <w:r>
              <w:rPr>
                <w:b/>
                <w:sz w:val="28"/>
              </w:rPr>
              <w:t>2.</w:t>
            </w:r>
          </w:p>
        </w:tc>
        <w:tc>
          <w:tcPr>
            <w:tcW w:w="8134" w:type="dxa"/>
          </w:tcPr>
          <w:p w14:paraId="20A18EFC" w14:textId="434FA45F" w:rsidR="005D368E" w:rsidRDefault="005D368E" w:rsidP="0047386C">
            <w:pPr>
              <w:spacing w:after="120"/>
              <w:jc w:val="both"/>
              <w:rPr>
                <w:rFonts w:cstheme="minorHAnsi"/>
                <w:b/>
                <w:sz w:val="28"/>
                <w:szCs w:val="28"/>
              </w:rPr>
            </w:pPr>
            <w:r>
              <w:rPr>
                <w:rFonts w:cstheme="minorHAnsi"/>
                <w:b/>
                <w:sz w:val="28"/>
                <w:szCs w:val="28"/>
              </w:rPr>
              <w:t>Admissions</w:t>
            </w:r>
          </w:p>
        </w:tc>
      </w:tr>
      <w:tr w:rsidR="00532C29" w14:paraId="5B8DB040" w14:textId="77777777" w:rsidTr="0047386C">
        <w:trPr>
          <w:trHeight w:val="458"/>
        </w:trPr>
        <w:tc>
          <w:tcPr>
            <w:tcW w:w="1075" w:type="dxa"/>
          </w:tcPr>
          <w:p w14:paraId="15247179" w14:textId="7C8D6845" w:rsidR="00532C29" w:rsidRPr="00CC623D" w:rsidRDefault="005D368E" w:rsidP="0047386C">
            <w:pPr>
              <w:rPr>
                <w:b/>
                <w:sz w:val="28"/>
              </w:rPr>
            </w:pPr>
            <w:r>
              <w:rPr>
                <w:b/>
                <w:sz w:val="28"/>
              </w:rPr>
              <w:t>3</w:t>
            </w:r>
            <w:r w:rsidR="00532C29" w:rsidRPr="00CC623D">
              <w:rPr>
                <w:b/>
                <w:sz w:val="28"/>
              </w:rPr>
              <w:t>.</w:t>
            </w:r>
          </w:p>
        </w:tc>
        <w:tc>
          <w:tcPr>
            <w:tcW w:w="8134" w:type="dxa"/>
          </w:tcPr>
          <w:p w14:paraId="3221F3AB" w14:textId="197549BC" w:rsidR="00532C29" w:rsidRPr="00847D29" w:rsidRDefault="00532C29" w:rsidP="0047386C">
            <w:pPr>
              <w:spacing w:after="120"/>
              <w:jc w:val="both"/>
              <w:rPr>
                <w:rFonts w:cstheme="minorHAnsi"/>
                <w:b/>
                <w:sz w:val="28"/>
                <w:szCs w:val="28"/>
              </w:rPr>
            </w:pPr>
            <w:r>
              <w:rPr>
                <w:rFonts w:cstheme="minorHAnsi"/>
                <w:b/>
                <w:sz w:val="28"/>
                <w:szCs w:val="28"/>
              </w:rPr>
              <w:t>Process for Admissions</w:t>
            </w:r>
          </w:p>
        </w:tc>
      </w:tr>
      <w:tr w:rsidR="00532C29" w:rsidRPr="00784D83" w14:paraId="11FA5331" w14:textId="77777777" w:rsidTr="0047386C">
        <w:trPr>
          <w:trHeight w:val="485"/>
        </w:trPr>
        <w:tc>
          <w:tcPr>
            <w:tcW w:w="1075" w:type="dxa"/>
          </w:tcPr>
          <w:p w14:paraId="65AF6BE0" w14:textId="2F259007" w:rsidR="00532C29" w:rsidRPr="00CC623D" w:rsidRDefault="005D368E" w:rsidP="0047386C">
            <w:pPr>
              <w:rPr>
                <w:b/>
                <w:sz w:val="28"/>
              </w:rPr>
            </w:pPr>
            <w:r>
              <w:rPr>
                <w:b/>
                <w:sz w:val="28"/>
              </w:rPr>
              <w:t>4</w:t>
            </w:r>
            <w:r w:rsidR="00532C29" w:rsidRPr="00CC623D">
              <w:rPr>
                <w:b/>
                <w:sz w:val="28"/>
              </w:rPr>
              <w:t>.</w:t>
            </w:r>
          </w:p>
        </w:tc>
        <w:tc>
          <w:tcPr>
            <w:tcW w:w="8134" w:type="dxa"/>
          </w:tcPr>
          <w:p w14:paraId="15CA6E68" w14:textId="19827EC7" w:rsidR="00532C29" w:rsidRPr="00784D83" w:rsidRDefault="00532C29" w:rsidP="00784D83">
            <w:pPr>
              <w:rPr>
                <w:b/>
                <w:sz w:val="28"/>
              </w:rPr>
            </w:pPr>
            <w:r w:rsidRPr="00784D83">
              <w:rPr>
                <w:b/>
                <w:sz w:val="28"/>
              </w:rPr>
              <w:t>Admissions Register</w:t>
            </w:r>
          </w:p>
        </w:tc>
      </w:tr>
    </w:tbl>
    <w:p w14:paraId="1E133B31" w14:textId="77777777" w:rsidR="00532C29" w:rsidRDefault="00532C29" w:rsidP="003A61A3">
      <w:pPr>
        <w:spacing w:after="0"/>
        <w:rPr>
          <w:rFonts w:cstheme="minorHAnsi"/>
          <w:color w:val="000000"/>
          <w:sz w:val="24"/>
          <w:szCs w:val="24"/>
        </w:rPr>
      </w:pPr>
    </w:p>
    <w:p w14:paraId="62D29027" w14:textId="77777777" w:rsidR="00532C29" w:rsidRDefault="00532C29" w:rsidP="003A61A3">
      <w:pPr>
        <w:spacing w:after="0"/>
        <w:rPr>
          <w:rFonts w:cstheme="minorHAnsi"/>
          <w:color w:val="000000"/>
          <w:sz w:val="24"/>
          <w:szCs w:val="24"/>
        </w:rPr>
      </w:pPr>
    </w:p>
    <w:p w14:paraId="42F121B4" w14:textId="77777777" w:rsidR="00532C29" w:rsidRDefault="00532C29" w:rsidP="003A61A3">
      <w:pPr>
        <w:spacing w:after="0"/>
        <w:rPr>
          <w:rFonts w:cstheme="minorHAnsi"/>
          <w:color w:val="000000"/>
          <w:sz w:val="24"/>
          <w:szCs w:val="24"/>
        </w:rPr>
      </w:pPr>
    </w:p>
    <w:p w14:paraId="37A6C1B2" w14:textId="77777777" w:rsidR="00532C29" w:rsidRDefault="00532C29" w:rsidP="003A61A3">
      <w:pPr>
        <w:spacing w:after="0"/>
        <w:rPr>
          <w:rFonts w:cstheme="minorHAnsi"/>
          <w:color w:val="000000"/>
          <w:sz w:val="24"/>
          <w:szCs w:val="24"/>
        </w:rPr>
      </w:pPr>
    </w:p>
    <w:p w14:paraId="13619233" w14:textId="77777777" w:rsidR="00532C29" w:rsidRDefault="00532C29" w:rsidP="003A61A3">
      <w:pPr>
        <w:spacing w:after="0"/>
        <w:rPr>
          <w:rFonts w:cstheme="minorHAnsi"/>
          <w:color w:val="000000"/>
          <w:sz w:val="24"/>
          <w:szCs w:val="24"/>
        </w:rPr>
      </w:pPr>
    </w:p>
    <w:p w14:paraId="21325B69" w14:textId="77777777" w:rsidR="00532C29" w:rsidRDefault="00532C29" w:rsidP="003A61A3">
      <w:pPr>
        <w:spacing w:after="0"/>
        <w:rPr>
          <w:rFonts w:cstheme="minorHAnsi"/>
          <w:color w:val="000000"/>
          <w:sz w:val="24"/>
          <w:szCs w:val="24"/>
        </w:rPr>
      </w:pPr>
    </w:p>
    <w:p w14:paraId="23E99D6B" w14:textId="77777777" w:rsidR="00532C29" w:rsidRDefault="00532C29" w:rsidP="003A61A3">
      <w:pPr>
        <w:spacing w:after="0"/>
        <w:rPr>
          <w:rFonts w:cstheme="minorHAnsi"/>
          <w:color w:val="000000"/>
          <w:sz w:val="24"/>
          <w:szCs w:val="24"/>
        </w:rPr>
      </w:pPr>
    </w:p>
    <w:p w14:paraId="5448D648" w14:textId="77777777" w:rsidR="00532C29" w:rsidRDefault="00532C29" w:rsidP="003A61A3">
      <w:pPr>
        <w:spacing w:after="0"/>
        <w:rPr>
          <w:rFonts w:cstheme="minorHAnsi"/>
          <w:color w:val="000000"/>
          <w:sz w:val="24"/>
          <w:szCs w:val="24"/>
        </w:rPr>
      </w:pPr>
    </w:p>
    <w:p w14:paraId="09515BC8" w14:textId="77777777" w:rsidR="00532C29" w:rsidRDefault="00532C29" w:rsidP="003A61A3">
      <w:pPr>
        <w:spacing w:after="0"/>
        <w:rPr>
          <w:rFonts w:cstheme="minorHAnsi"/>
          <w:color w:val="000000"/>
          <w:sz w:val="24"/>
          <w:szCs w:val="24"/>
        </w:rPr>
      </w:pPr>
    </w:p>
    <w:p w14:paraId="113AB00C" w14:textId="77777777" w:rsidR="00532C29" w:rsidRDefault="00532C29" w:rsidP="003A61A3">
      <w:pPr>
        <w:spacing w:after="0"/>
        <w:rPr>
          <w:rFonts w:cstheme="minorHAnsi"/>
          <w:color w:val="000000"/>
          <w:sz w:val="24"/>
          <w:szCs w:val="24"/>
        </w:rPr>
      </w:pPr>
    </w:p>
    <w:p w14:paraId="13806C2B" w14:textId="77777777" w:rsidR="00532C29" w:rsidRDefault="00532C29" w:rsidP="003A61A3">
      <w:pPr>
        <w:spacing w:after="0"/>
        <w:rPr>
          <w:rFonts w:cstheme="minorHAnsi"/>
          <w:color w:val="000000"/>
          <w:sz w:val="24"/>
          <w:szCs w:val="24"/>
        </w:rPr>
      </w:pPr>
    </w:p>
    <w:p w14:paraId="40C25CC0" w14:textId="77777777" w:rsidR="00532C29" w:rsidRDefault="00532C29" w:rsidP="003A61A3">
      <w:pPr>
        <w:spacing w:after="0"/>
        <w:rPr>
          <w:rFonts w:cstheme="minorHAnsi"/>
          <w:color w:val="000000"/>
          <w:sz w:val="24"/>
          <w:szCs w:val="24"/>
        </w:rPr>
      </w:pPr>
    </w:p>
    <w:p w14:paraId="7B6D1540" w14:textId="77777777" w:rsidR="00532C29" w:rsidRDefault="00532C29" w:rsidP="003A61A3">
      <w:pPr>
        <w:spacing w:after="0"/>
        <w:rPr>
          <w:rFonts w:cstheme="minorHAnsi"/>
          <w:color w:val="000000"/>
          <w:sz w:val="24"/>
          <w:szCs w:val="24"/>
        </w:rPr>
      </w:pPr>
    </w:p>
    <w:p w14:paraId="22D540D9" w14:textId="77777777" w:rsidR="00532C29" w:rsidRDefault="00532C29" w:rsidP="003A61A3">
      <w:pPr>
        <w:spacing w:after="0"/>
        <w:rPr>
          <w:rFonts w:cstheme="minorHAnsi"/>
          <w:color w:val="000000"/>
          <w:sz w:val="24"/>
          <w:szCs w:val="24"/>
        </w:rPr>
      </w:pPr>
    </w:p>
    <w:p w14:paraId="6A257D67" w14:textId="77777777" w:rsidR="00532C29" w:rsidRDefault="00532C29" w:rsidP="003A61A3">
      <w:pPr>
        <w:spacing w:after="0"/>
        <w:rPr>
          <w:rFonts w:cstheme="minorHAnsi"/>
          <w:color w:val="000000"/>
          <w:sz w:val="24"/>
          <w:szCs w:val="24"/>
        </w:rPr>
      </w:pPr>
    </w:p>
    <w:p w14:paraId="3B48B794" w14:textId="77777777" w:rsidR="00532C29" w:rsidRDefault="00532C29" w:rsidP="003A61A3">
      <w:pPr>
        <w:spacing w:after="0"/>
        <w:rPr>
          <w:rFonts w:cstheme="minorHAnsi"/>
          <w:color w:val="000000"/>
          <w:sz w:val="24"/>
          <w:szCs w:val="24"/>
        </w:rPr>
      </w:pPr>
    </w:p>
    <w:p w14:paraId="6FB77677" w14:textId="77777777" w:rsidR="00532C29" w:rsidRDefault="00532C29" w:rsidP="003A61A3">
      <w:pPr>
        <w:spacing w:after="0"/>
        <w:rPr>
          <w:rFonts w:cstheme="minorHAnsi"/>
          <w:color w:val="000000"/>
          <w:sz w:val="24"/>
          <w:szCs w:val="24"/>
        </w:rPr>
      </w:pPr>
    </w:p>
    <w:p w14:paraId="3E46695E" w14:textId="77777777" w:rsidR="00532C29" w:rsidRDefault="00532C29" w:rsidP="003A61A3">
      <w:pPr>
        <w:spacing w:after="0"/>
        <w:rPr>
          <w:rFonts w:cstheme="minorHAnsi"/>
          <w:color w:val="000000"/>
          <w:sz w:val="24"/>
          <w:szCs w:val="24"/>
        </w:rPr>
      </w:pPr>
    </w:p>
    <w:p w14:paraId="2E450328" w14:textId="77777777" w:rsidR="00532C29" w:rsidRDefault="00532C29" w:rsidP="003A61A3">
      <w:pPr>
        <w:spacing w:after="0"/>
        <w:rPr>
          <w:rFonts w:cstheme="minorHAnsi"/>
          <w:color w:val="000000"/>
          <w:sz w:val="24"/>
          <w:szCs w:val="24"/>
        </w:rPr>
      </w:pPr>
    </w:p>
    <w:p w14:paraId="2896DE5D" w14:textId="77777777" w:rsidR="00532C29" w:rsidRDefault="00532C29" w:rsidP="003A61A3">
      <w:pPr>
        <w:spacing w:after="0"/>
        <w:rPr>
          <w:rFonts w:cstheme="minorHAnsi"/>
          <w:color w:val="000000"/>
          <w:sz w:val="24"/>
          <w:szCs w:val="24"/>
        </w:rPr>
      </w:pPr>
    </w:p>
    <w:p w14:paraId="3EDD5E8A" w14:textId="77777777" w:rsidR="00532C29" w:rsidRDefault="00532C29" w:rsidP="003A61A3">
      <w:pPr>
        <w:spacing w:after="0"/>
        <w:rPr>
          <w:rFonts w:cstheme="minorHAnsi"/>
          <w:color w:val="000000"/>
          <w:sz w:val="24"/>
          <w:szCs w:val="24"/>
        </w:rPr>
      </w:pPr>
    </w:p>
    <w:p w14:paraId="4D80BC48" w14:textId="77777777" w:rsidR="00532C29" w:rsidRDefault="00532C29" w:rsidP="003A61A3">
      <w:pPr>
        <w:spacing w:after="0"/>
        <w:rPr>
          <w:rFonts w:cstheme="minorHAnsi"/>
          <w:color w:val="000000"/>
          <w:sz w:val="24"/>
          <w:szCs w:val="24"/>
        </w:rPr>
      </w:pPr>
    </w:p>
    <w:p w14:paraId="5EC4026D" w14:textId="77777777" w:rsidR="00532C29" w:rsidRDefault="00532C29" w:rsidP="003A61A3">
      <w:pPr>
        <w:spacing w:after="0"/>
        <w:rPr>
          <w:rFonts w:cstheme="minorHAnsi"/>
          <w:color w:val="000000"/>
          <w:sz w:val="24"/>
          <w:szCs w:val="24"/>
        </w:rPr>
      </w:pPr>
    </w:p>
    <w:p w14:paraId="209DFB7F" w14:textId="77777777" w:rsidR="00532C29" w:rsidRDefault="00532C29" w:rsidP="003A61A3">
      <w:pPr>
        <w:spacing w:after="0"/>
        <w:rPr>
          <w:rFonts w:cstheme="minorHAnsi"/>
          <w:color w:val="000000"/>
          <w:sz w:val="24"/>
          <w:szCs w:val="24"/>
        </w:rPr>
      </w:pPr>
    </w:p>
    <w:p w14:paraId="67C60031" w14:textId="77777777" w:rsidR="00532C29" w:rsidRDefault="00532C29" w:rsidP="003A61A3">
      <w:pPr>
        <w:spacing w:after="0"/>
        <w:rPr>
          <w:rFonts w:cstheme="minorHAnsi"/>
          <w:color w:val="000000"/>
          <w:sz w:val="24"/>
          <w:szCs w:val="24"/>
        </w:rPr>
      </w:pPr>
    </w:p>
    <w:p w14:paraId="32023576" w14:textId="77777777" w:rsidR="00532C29" w:rsidRDefault="00532C29" w:rsidP="003A61A3">
      <w:pPr>
        <w:spacing w:after="0"/>
        <w:rPr>
          <w:rFonts w:cstheme="minorHAnsi"/>
          <w:color w:val="000000"/>
          <w:sz w:val="24"/>
          <w:szCs w:val="24"/>
        </w:rPr>
      </w:pPr>
    </w:p>
    <w:p w14:paraId="19C9CBA8" w14:textId="77777777" w:rsidR="00532C29" w:rsidRDefault="00532C29" w:rsidP="003A61A3">
      <w:pPr>
        <w:spacing w:after="0"/>
        <w:rPr>
          <w:rFonts w:cstheme="minorHAnsi"/>
          <w:color w:val="000000"/>
          <w:sz w:val="24"/>
          <w:szCs w:val="24"/>
        </w:rPr>
      </w:pPr>
    </w:p>
    <w:p w14:paraId="6D96B310" w14:textId="77777777" w:rsidR="00532C29" w:rsidRDefault="00532C29" w:rsidP="003A61A3">
      <w:pPr>
        <w:spacing w:after="0"/>
        <w:rPr>
          <w:rFonts w:cstheme="minorHAnsi"/>
          <w:color w:val="000000"/>
          <w:sz w:val="24"/>
          <w:szCs w:val="24"/>
        </w:rPr>
      </w:pPr>
    </w:p>
    <w:p w14:paraId="49604E25" w14:textId="77777777" w:rsidR="00532C29" w:rsidRDefault="00532C29" w:rsidP="003A61A3">
      <w:pPr>
        <w:spacing w:after="0"/>
        <w:rPr>
          <w:rFonts w:cstheme="minorHAnsi"/>
          <w:color w:val="000000"/>
          <w:sz w:val="24"/>
          <w:szCs w:val="24"/>
        </w:rPr>
      </w:pPr>
    </w:p>
    <w:p w14:paraId="0EA2B97C" w14:textId="77777777" w:rsidR="00532C29" w:rsidRDefault="00532C29" w:rsidP="003A61A3">
      <w:pPr>
        <w:spacing w:after="0"/>
        <w:rPr>
          <w:rFonts w:cstheme="minorHAnsi"/>
          <w:color w:val="000000"/>
          <w:sz w:val="24"/>
          <w:szCs w:val="24"/>
        </w:rPr>
      </w:pPr>
    </w:p>
    <w:p w14:paraId="13B28DEF" w14:textId="77777777" w:rsidR="00532C29" w:rsidRDefault="00532C29" w:rsidP="003A61A3">
      <w:pPr>
        <w:spacing w:after="0"/>
        <w:rPr>
          <w:rFonts w:cstheme="minorHAnsi"/>
          <w:color w:val="000000"/>
          <w:sz w:val="24"/>
          <w:szCs w:val="24"/>
        </w:rPr>
      </w:pPr>
    </w:p>
    <w:p w14:paraId="43FBD307" w14:textId="77777777" w:rsidR="00532C29" w:rsidRDefault="00532C29" w:rsidP="003A61A3">
      <w:pPr>
        <w:spacing w:after="0"/>
        <w:rPr>
          <w:rFonts w:cstheme="minorHAnsi"/>
          <w:color w:val="000000"/>
          <w:sz w:val="24"/>
          <w:szCs w:val="24"/>
        </w:rPr>
      </w:pPr>
    </w:p>
    <w:p w14:paraId="2EDB9F24" w14:textId="77777777" w:rsidR="00532C29" w:rsidRDefault="00532C29" w:rsidP="003A61A3">
      <w:pPr>
        <w:spacing w:after="0"/>
        <w:rPr>
          <w:rFonts w:cstheme="minorHAnsi"/>
          <w:color w:val="000000"/>
          <w:sz w:val="24"/>
          <w:szCs w:val="24"/>
        </w:rPr>
      </w:pPr>
    </w:p>
    <w:p w14:paraId="34E5F0E8" w14:textId="77777777" w:rsidR="00532C29" w:rsidRDefault="00532C29" w:rsidP="003A61A3">
      <w:pPr>
        <w:spacing w:after="0"/>
        <w:rPr>
          <w:rFonts w:cstheme="minorHAnsi"/>
          <w:color w:val="000000"/>
          <w:sz w:val="24"/>
          <w:szCs w:val="24"/>
        </w:rPr>
      </w:pPr>
    </w:p>
    <w:p w14:paraId="4ED7D15E" w14:textId="77777777" w:rsidR="00532C29" w:rsidRDefault="00532C29" w:rsidP="003A61A3">
      <w:pPr>
        <w:spacing w:after="0"/>
        <w:rPr>
          <w:rFonts w:cstheme="minorHAnsi"/>
          <w:color w:val="000000"/>
          <w:sz w:val="24"/>
          <w:szCs w:val="24"/>
        </w:rPr>
      </w:pPr>
    </w:p>
    <w:tbl>
      <w:tblPr>
        <w:tblStyle w:val="GridTable1Light-Accent51"/>
        <w:tblW w:w="0" w:type="auto"/>
        <w:tblLook w:val="04A0" w:firstRow="1" w:lastRow="0" w:firstColumn="1" w:lastColumn="0" w:noHBand="0" w:noVBand="1"/>
      </w:tblPr>
      <w:tblGrid>
        <w:gridCol w:w="9016"/>
      </w:tblGrid>
      <w:tr w:rsidR="005D368E" w:rsidRPr="00143736" w14:paraId="36F18F7F" w14:textId="77777777" w:rsidTr="00473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015F0FE6" w14:textId="51FC4E87" w:rsidR="005D368E" w:rsidRPr="001B6E7C" w:rsidRDefault="005D368E" w:rsidP="005D368E">
            <w:pPr>
              <w:pStyle w:val="ListParagraph"/>
              <w:numPr>
                <w:ilvl w:val="0"/>
                <w:numId w:val="1"/>
              </w:numPr>
              <w:rPr>
                <w:rFonts w:cstheme="minorHAnsi"/>
                <w:b w:val="0"/>
                <w:sz w:val="28"/>
                <w:szCs w:val="28"/>
              </w:rPr>
            </w:pPr>
            <w:r>
              <w:rPr>
                <w:rFonts w:cstheme="minorHAnsi"/>
                <w:sz w:val="28"/>
                <w:szCs w:val="28"/>
              </w:rPr>
              <w:lastRenderedPageBreak/>
              <w:t>INTRODUCTION</w:t>
            </w:r>
          </w:p>
        </w:tc>
      </w:tr>
    </w:tbl>
    <w:p w14:paraId="6C1AC3AB" w14:textId="77777777" w:rsidR="005D368E" w:rsidRPr="001B6E7C" w:rsidRDefault="005D368E" w:rsidP="005D368E">
      <w:pPr>
        <w:pStyle w:val="NormalWeb"/>
        <w:spacing w:before="0" w:beforeAutospacing="0" w:after="0" w:afterAutospacing="0"/>
        <w:rPr>
          <w:rFonts w:asciiTheme="minorHAnsi" w:hAnsiTheme="minorHAnsi" w:cstheme="minorHAnsi"/>
        </w:rPr>
      </w:pPr>
    </w:p>
    <w:p w14:paraId="59496BA2" w14:textId="5567E7C0" w:rsidR="0032773F" w:rsidRPr="0032773F" w:rsidRDefault="0032773F" w:rsidP="003A61A3">
      <w:pPr>
        <w:spacing w:after="0"/>
        <w:rPr>
          <w:rFonts w:cstheme="minorHAnsi"/>
          <w:color w:val="000000"/>
          <w:sz w:val="24"/>
          <w:szCs w:val="24"/>
        </w:rPr>
      </w:pPr>
      <w:proofErr w:type="spellStart"/>
      <w:r w:rsidRPr="0032773F">
        <w:rPr>
          <w:rFonts w:cstheme="minorHAnsi"/>
          <w:color w:val="000000"/>
          <w:sz w:val="24"/>
          <w:szCs w:val="24"/>
        </w:rPr>
        <w:t>Edstart</w:t>
      </w:r>
      <w:proofErr w:type="spellEnd"/>
      <w:r w:rsidRPr="0032773F">
        <w:rPr>
          <w:rFonts w:cstheme="minorHAnsi"/>
          <w:color w:val="000000"/>
          <w:sz w:val="24"/>
          <w:szCs w:val="24"/>
        </w:rPr>
        <w:t xml:space="preserve"> aims to provide a varied and alternative curriculum to those who have </w:t>
      </w:r>
      <w:r w:rsidR="007578E6" w:rsidRPr="0032773F">
        <w:rPr>
          <w:rFonts w:cstheme="minorHAnsi"/>
          <w:color w:val="000000"/>
          <w:sz w:val="24"/>
          <w:szCs w:val="24"/>
        </w:rPr>
        <w:t>additional</w:t>
      </w:r>
      <w:r w:rsidRPr="0032773F">
        <w:rPr>
          <w:rFonts w:cstheme="minorHAnsi"/>
          <w:color w:val="000000"/>
          <w:sz w:val="24"/>
          <w:szCs w:val="24"/>
        </w:rPr>
        <w:t xml:space="preserve"> needs or perform better in a smaller classroom environment. </w:t>
      </w:r>
      <w:proofErr w:type="spellStart"/>
      <w:r w:rsidRPr="0032773F">
        <w:rPr>
          <w:rFonts w:cstheme="minorHAnsi"/>
          <w:color w:val="000000"/>
          <w:sz w:val="24"/>
          <w:szCs w:val="24"/>
        </w:rPr>
        <w:t>Edstart</w:t>
      </w:r>
      <w:proofErr w:type="spellEnd"/>
      <w:r w:rsidRPr="0032773F">
        <w:rPr>
          <w:rFonts w:cstheme="minorHAnsi"/>
          <w:color w:val="000000"/>
          <w:sz w:val="24"/>
          <w:szCs w:val="24"/>
        </w:rPr>
        <w:t xml:space="preserve"> aims to cater for learners with special educational needs, that have been identified by the referring school or agency</w:t>
      </w:r>
    </w:p>
    <w:p w14:paraId="70B31BB6" w14:textId="77777777" w:rsidR="0032773F" w:rsidRPr="0032773F" w:rsidRDefault="0032773F" w:rsidP="003A61A3">
      <w:pPr>
        <w:spacing w:after="0"/>
        <w:rPr>
          <w:rFonts w:cstheme="minorHAnsi"/>
          <w:color w:val="000000"/>
          <w:sz w:val="24"/>
          <w:szCs w:val="24"/>
        </w:rPr>
      </w:pPr>
    </w:p>
    <w:p w14:paraId="223B0A9B" w14:textId="542DA6BD" w:rsidR="0032773F" w:rsidRPr="0032773F" w:rsidRDefault="0032773F" w:rsidP="003A61A3">
      <w:pPr>
        <w:spacing w:after="0"/>
        <w:rPr>
          <w:rFonts w:cstheme="minorHAnsi"/>
          <w:color w:val="000000"/>
          <w:sz w:val="24"/>
          <w:szCs w:val="24"/>
        </w:rPr>
      </w:pPr>
      <w:r w:rsidRPr="0032773F">
        <w:rPr>
          <w:rFonts w:cstheme="minorHAnsi"/>
          <w:color w:val="000000"/>
          <w:sz w:val="24"/>
          <w:szCs w:val="24"/>
        </w:rPr>
        <w:t xml:space="preserve">Admissions are to be dealt with by the Senior Management Team at the company. Initial contact regarding a referral from a school or agency will generate the need for the completion of </w:t>
      </w:r>
      <w:proofErr w:type="spellStart"/>
      <w:r w:rsidRPr="0032773F">
        <w:rPr>
          <w:rFonts w:cstheme="minorHAnsi"/>
          <w:color w:val="000000"/>
          <w:sz w:val="24"/>
          <w:szCs w:val="24"/>
        </w:rPr>
        <w:t>Edstarts’s</w:t>
      </w:r>
      <w:proofErr w:type="spellEnd"/>
      <w:r w:rsidRPr="0032773F">
        <w:rPr>
          <w:rFonts w:cstheme="minorHAnsi"/>
          <w:color w:val="000000"/>
          <w:sz w:val="24"/>
          <w:szCs w:val="24"/>
        </w:rPr>
        <w:t xml:space="preserve"> referral form. This must be completed </w:t>
      </w:r>
      <w:r w:rsidR="007578E6">
        <w:rPr>
          <w:rFonts w:cstheme="minorHAnsi"/>
          <w:color w:val="000000"/>
          <w:sz w:val="24"/>
          <w:szCs w:val="24"/>
        </w:rPr>
        <w:t xml:space="preserve">thoroughly </w:t>
      </w:r>
      <w:r w:rsidRPr="0032773F">
        <w:rPr>
          <w:rFonts w:cstheme="minorHAnsi"/>
          <w:color w:val="000000"/>
          <w:sz w:val="24"/>
          <w:szCs w:val="24"/>
        </w:rPr>
        <w:t xml:space="preserve">and returned to the SMT for </w:t>
      </w:r>
      <w:r w:rsidR="007578E6" w:rsidRPr="0032773F">
        <w:rPr>
          <w:rFonts w:cstheme="minorHAnsi"/>
          <w:color w:val="000000"/>
          <w:sz w:val="24"/>
          <w:szCs w:val="24"/>
        </w:rPr>
        <w:t>deliberation</w:t>
      </w:r>
      <w:r w:rsidRPr="0032773F">
        <w:rPr>
          <w:rFonts w:cstheme="minorHAnsi"/>
          <w:color w:val="000000"/>
          <w:sz w:val="24"/>
          <w:szCs w:val="24"/>
        </w:rPr>
        <w:t xml:space="preserve">.  The referral form is available on request. </w:t>
      </w:r>
    </w:p>
    <w:p w14:paraId="4E12AEF4" w14:textId="77777777" w:rsidR="0032773F" w:rsidRPr="0032773F" w:rsidRDefault="0032773F" w:rsidP="003A61A3">
      <w:pPr>
        <w:spacing w:after="0"/>
        <w:rPr>
          <w:rFonts w:cstheme="minorHAnsi"/>
          <w:color w:val="000000"/>
          <w:sz w:val="24"/>
          <w:szCs w:val="24"/>
        </w:rPr>
      </w:pPr>
    </w:p>
    <w:p w14:paraId="3DCEADE4" w14:textId="77777777" w:rsidR="0032773F" w:rsidRPr="0032773F" w:rsidRDefault="0032773F" w:rsidP="003A61A3">
      <w:pPr>
        <w:spacing w:after="0"/>
        <w:rPr>
          <w:rFonts w:cstheme="minorHAnsi"/>
          <w:color w:val="000000"/>
          <w:sz w:val="24"/>
          <w:szCs w:val="24"/>
        </w:rPr>
      </w:pPr>
      <w:proofErr w:type="spellStart"/>
      <w:r w:rsidRPr="0032773F">
        <w:rPr>
          <w:rFonts w:cstheme="minorHAnsi"/>
          <w:color w:val="000000"/>
          <w:sz w:val="24"/>
          <w:szCs w:val="24"/>
        </w:rPr>
        <w:t>Edstart</w:t>
      </w:r>
      <w:proofErr w:type="spellEnd"/>
      <w:r w:rsidRPr="0032773F">
        <w:rPr>
          <w:rFonts w:cstheme="minorHAnsi"/>
          <w:color w:val="000000"/>
          <w:sz w:val="24"/>
          <w:szCs w:val="24"/>
        </w:rPr>
        <w:t xml:space="preserve"> will admit referrals based on the following criteria: </w:t>
      </w:r>
    </w:p>
    <w:p w14:paraId="3CF1E935" w14:textId="77777777" w:rsidR="0032773F" w:rsidRPr="0032773F" w:rsidRDefault="0032773F" w:rsidP="003A61A3">
      <w:pPr>
        <w:spacing w:after="0"/>
        <w:rPr>
          <w:rFonts w:cstheme="minorHAnsi"/>
          <w:color w:val="000000"/>
          <w:sz w:val="24"/>
          <w:szCs w:val="24"/>
        </w:rPr>
      </w:pPr>
    </w:p>
    <w:p w14:paraId="278C66E1" w14:textId="77777777" w:rsidR="0032773F" w:rsidRPr="003F46DB" w:rsidRDefault="0032773F" w:rsidP="003A61A3">
      <w:pPr>
        <w:numPr>
          <w:ilvl w:val="0"/>
          <w:numId w:val="43"/>
        </w:numPr>
        <w:spacing w:after="0" w:line="240" w:lineRule="auto"/>
        <w:rPr>
          <w:rFonts w:cstheme="minorHAnsi"/>
          <w:color w:val="000000"/>
          <w:sz w:val="24"/>
          <w:szCs w:val="24"/>
        </w:rPr>
      </w:pPr>
      <w:r w:rsidRPr="0032773F">
        <w:rPr>
          <w:rFonts w:cstheme="minorHAnsi"/>
          <w:color w:val="000000"/>
          <w:sz w:val="24"/>
          <w:szCs w:val="24"/>
        </w:rPr>
        <w:t>Successful/ thorough completion of the referral form</w:t>
      </w:r>
    </w:p>
    <w:p w14:paraId="50538A4C" w14:textId="77777777" w:rsidR="0032773F" w:rsidRPr="003F46DB" w:rsidRDefault="0032773F" w:rsidP="003A61A3">
      <w:pPr>
        <w:numPr>
          <w:ilvl w:val="0"/>
          <w:numId w:val="43"/>
        </w:numPr>
        <w:spacing w:after="0" w:line="240" w:lineRule="auto"/>
        <w:rPr>
          <w:rFonts w:cstheme="minorHAnsi"/>
          <w:color w:val="000000"/>
          <w:sz w:val="24"/>
          <w:szCs w:val="24"/>
        </w:rPr>
      </w:pPr>
      <w:r w:rsidRPr="0032773F">
        <w:rPr>
          <w:rFonts w:cstheme="minorHAnsi"/>
          <w:color w:val="000000"/>
          <w:sz w:val="24"/>
          <w:szCs w:val="24"/>
        </w:rPr>
        <w:t xml:space="preserve">Key contact information of the learner </w:t>
      </w:r>
    </w:p>
    <w:p w14:paraId="2FED672B" w14:textId="59795A3E" w:rsidR="0032773F" w:rsidRPr="003F46DB" w:rsidRDefault="0032773F" w:rsidP="003A61A3">
      <w:pPr>
        <w:numPr>
          <w:ilvl w:val="0"/>
          <w:numId w:val="43"/>
        </w:numPr>
        <w:spacing w:after="0" w:line="240" w:lineRule="auto"/>
        <w:rPr>
          <w:rFonts w:cstheme="minorHAnsi"/>
          <w:color w:val="000000"/>
          <w:sz w:val="24"/>
          <w:szCs w:val="24"/>
        </w:rPr>
      </w:pPr>
      <w:r w:rsidRPr="0032773F">
        <w:rPr>
          <w:rFonts w:cstheme="minorHAnsi"/>
          <w:color w:val="000000"/>
          <w:sz w:val="24"/>
          <w:szCs w:val="24"/>
        </w:rPr>
        <w:t xml:space="preserve">Comprehensive information provided by referring </w:t>
      </w:r>
      <w:r w:rsidR="00784D83" w:rsidRPr="0032773F">
        <w:rPr>
          <w:rFonts w:cstheme="minorHAnsi"/>
          <w:color w:val="000000"/>
          <w:sz w:val="24"/>
          <w:szCs w:val="24"/>
        </w:rPr>
        <w:t>agency,</w:t>
      </w:r>
      <w:r w:rsidRPr="0032773F">
        <w:rPr>
          <w:rFonts w:cstheme="minorHAnsi"/>
          <w:color w:val="000000"/>
          <w:sz w:val="24"/>
          <w:szCs w:val="24"/>
        </w:rPr>
        <w:t xml:space="preserve"> including access to SEN statements </w:t>
      </w:r>
    </w:p>
    <w:p w14:paraId="419BA321" w14:textId="77777777" w:rsidR="0032773F" w:rsidRPr="003F46DB" w:rsidRDefault="0032773F" w:rsidP="003A61A3">
      <w:pPr>
        <w:numPr>
          <w:ilvl w:val="0"/>
          <w:numId w:val="43"/>
        </w:numPr>
        <w:spacing w:after="0" w:line="240" w:lineRule="auto"/>
        <w:rPr>
          <w:rFonts w:cstheme="minorHAnsi"/>
          <w:color w:val="000000"/>
          <w:sz w:val="24"/>
          <w:szCs w:val="24"/>
        </w:rPr>
      </w:pPr>
      <w:r w:rsidRPr="0032773F">
        <w:rPr>
          <w:rFonts w:cstheme="minorHAnsi"/>
          <w:color w:val="000000"/>
          <w:sz w:val="24"/>
          <w:szCs w:val="24"/>
        </w:rPr>
        <w:t>Decision of the SMT based on referral information</w:t>
      </w:r>
    </w:p>
    <w:p w14:paraId="0ACDFFE9" w14:textId="77777777" w:rsidR="0032773F" w:rsidRPr="003F46DB" w:rsidRDefault="0032773F" w:rsidP="003A61A3">
      <w:pPr>
        <w:numPr>
          <w:ilvl w:val="0"/>
          <w:numId w:val="43"/>
        </w:numPr>
        <w:spacing w:after="0" w:line="240" w:lineRule="auto"/>
        <w:rPr>
          <w:rFonts w:cstheme="minorHAnsi"/>
          <w:color w:val="000000"/>
          <w:sz w:val="24"/>
          <w:szCs w:val="24"/>
        </w:rPr>
      </w:pPr>
      <w:r w:rsidRPr="0032773F">
        <w:rPr>
          <w:rFonts w:cstheme="minorHAnsi"/>
          <w:color w:val="000000"/>
          <w:sz w:val="24"/>
          <w:szCs w:val="24"/>
        </w:rPr>
        <w:t>Ability of the learner to achieve</w:t>
      </w:r>
    </w:p>
    <w:p w14:paraId="1BDF35BC" w14:textId="77777777" w:rsidR="0032773F" w:rsidRPr="003F46DB" w:rsidRDefault="0032773F" w:rsidP="003A61A3">
      <w:pPr>
        <w:numPr>
          <w:ilvl w:val="0"/>
          <w:numId w:val="43"/>
        </w:numPr>
        <w:spacing w:after="0" w:line="240" w:lineRule="auto"/>
        <w:rPr>
          <w:rFonts w:cstheme="minorHAnsi"/>
          <w:color w:val="000000"/>
          <w:sz w:val="24"/>
          <w:szCs w:val="24"/>
        </w:rPr>
      </w:pPr>
      <w:r w:rsidRPr="0032773F">
        <w:rPr>
          <w:rFonts w:cstheme="minorHAnsi"/>
          <w:color w:val="000000"/>
          <w:sz w:val="24"/>
          <w:szCs w:val="24"/>
        </w:rPr>
        <w:t>Ability of the learner to complete qualifications based on date referred</w:t>
      </w:r>
    </w:p>
    <w:p w14:paraId="5D1D2797" w14:textId="77777777" w:rsidR="0032773F" w:rsidRPr="003F46DB" w:rsidRDefault="0032773F" w:rsidP="003A61A3">
      <w:pPr>
        <w:numPr>
          <w:ilvl w:val="0"/>
          <w:numId w:val="43"/>
        </w:numPr>
        <w:spacing w:after="0" w:line="240" w:lineRule="auto"/>
        <w:rPr>
          <w:rFonts w:cstheme="minorHAnsi"/>
          <w:color w:val="000000"/>
          <w:sz w:val="24"/>
          <w:szCs w:val="24"/>
        </w:rPr>
      </w:pPr>
      <w:r w:rsidRPr="0032773F">
        <w:rPr>
          <w:rFonts w:cstheme="minorHAnsi"/>
          <w:color w:val="000000"/>
          <w:sz w:val="24"/>
          <w:szCs w:val="24"/>
        </w:rPr>
        <w:t>Suitability of the learner to the programme</w:t>
      </w:r>
    </w:p>
    <w:p w14:paraId="4284B1D5" w14:textId="77777777" w:rsidR="0032773F" w:rsidRPr="003F46DB" w:rsidRDefault="0032773F" w:rsidP="003A61A3">
      <w:pPr>
        <w:numPr>
          <w:ilvl w:val="0"/>
          <w:numId w:val="43"/>
        </w:numPr>
        <w:spacing w:after="0" w:line="240" w:lineRule="auto"/>
        <w:rPr>
          <w:rFonts w:cstheme="minorHAnsi"/>
          <w:color w:val="000000"/>
          <w:sz w:val="24"/>
          <w:szCs w:val="24"/>
        </w:rPr>
      </w:pPr>
      <w:r w:rsidRPr="0032773F">
        <w:rPr>
          <w:rFonts w:cstheme="minorHAnsi"/>
          <w:color w:val="000000"/>
          <w:sz w:val="24"/>
          <w:szCs w:val="24"/>
        </w:rPr>
        <w:t>Impact/ risk to others including staff and students</w:t>
      </w:r>
    </w:p>
    <w:p w14:paraId="77A71A62" w14:textId="77777777" w:rsidR="0032773F" w:rsidRPr="003F46DB" w:rsidRDefault="0032773F" w:rsidP="003A61A3">
      <w:pPr>
        <w:numPr>
          <w:ilvl w:val="0"/>
          <w:numId w:val="43"/>
        </w:numPr>
        <w:spacing w:after="0" w:line="240" w:lineRule="auto"/>
        <w:rPr>
          <w:rFonts w:cstheme="minorHAnsi"/>
          <w:color w:val="000000"/>
          <w:sz w:val="24"/>
          <w:szCs w:val="24"/>
        </w:rPr>
      </w:pPr>
      <w:r w:rsidRPr="0032773F">
        <w:rPr>
          <w:rFonts w:cstheme="minorHAnsi"/>
          <w:color w:val="000000"/>
          <w:sz w:val="24"/>
          <w:szCs w:val="24"/>
        </w:rPr>
        <w:t>Impact on other learners previously enrolled on programme</w:t>
      </w:r>
    </w:p>
    <w:p w14:paraId="60AC11EB" w14:textId="77777777" w:rsidR="0032773F" w:rsidRPr="0032773F" w:rsidRDefault="0032773F" w:rsidP="003A61A3">
      <w:pPr>
        <w:numPr>
          <w:ilvl w:val="0"/>
          <w:numId w:val="43"/>
        </w:numPr>
        <w:spacing w:after="0" w:line="240" w:lineRule="auto"/>
        <w:rPr>
          <w:rFonts w:cstheme="minorHAnsi"/>
          <w:color w:val="000000"/>
          <w:sz w:val="24"/>
          <w:szCs w:val="24"/>
        </w:rPr>
      </w:pPr>
      <w:r w:rsidRPr="0032773F">
        <w:rPr>
          <w:rFonts w:cstheme="minorHAnsi"/>
          <w:color w:val="000000"/>
          <w:sz w:val="24"/>
          <w:szCs w:val="24"/>
        </w:rPr>
        <w:t>Meeting with Parents/Carers to agree learning and behaviour targets</w:t>
      </w:r>
    </w:p>
    <w:p w14:paraId="44384900" w14:textId="77777777" w:rsidR="0032773F" w:rsidRPr="0032773F" w:rsidRDefault="0032773F" w:rsidP="003A61A3">
      <w:pPr>
        <w:spacing w:after="0"/>
        <w:rPr>
          <w:rFonts w:cstheme="minorHAnsi"/>
          <w:color w:val="000000"/>
          <w:sz w:val="24"/>
          <w:szCs w:val="24"/>
        </w:rPr>
      </w:pPr>
    </w:p>
    <w:p w14:paraId="3E555CAB" w14:textId="77777777" w:rsidR="0032773F" w:rsidRPr="0032773F" w:rsidRDefault="0032773F" w:rsidP="003A61A3">
      <w:pPr>
        <w:spacing w:after="0"/>
        <w:rPr>
          <w:rFonts w:cstheme="minorHAnsi"/>
          <w:color w:val="000000"/>
          <w:sz w:val="24"/>
          <w:szCs w:val="24"/>
        </w:rPr>
      </w:pPr>
      <w:r w:rsidRPr="0032773F">
        <w:rPr>
          <w:rFonts w:cstheme="minorHAnsi"/>
          <w:color w:val="000000"/>
          <w:sz w:val="24"/>
          <w:szCs w:val="24"/>
        </w:rPr>
        <w:t xml:space="preserve">Successful admission will result in an induction period for each learner and a sustained observed assessment of their suitability to determine programme level. Parents or guardians will be informed of the provision and how to access policies relevant to the young person’s education, </w:t>
      </w:r>
      <w:proofErr w:type="gramStart"/>
      <w:r w:rsidRPr="0032773F">
        <w:rPr>
          <w:rFonts w:cstheme="minorHAnsi"/>
          <w:color w:val="000000"/>
          <w:sz w:val="24"/>
          <w:szCs w:val="24"/>
        </w:rPr>
        <w:t>safety</w:t>
      </w:r>
      <w:proofErr w:type="gramEnd"/>
      <w:r w:rsidRPr="0032773F">
        <w:rPr>
          <w:rFonts w:cstheme="minorHAnsi"/>
          <w:color w:val="000000"/>
          <w:sz w:val="24"/>
          <w:szCs w:val="24"/>
        </w:rPr>
        <w:t xml:space="preserve"> and welfare.  </w:t>
      </w:r>
    </w:p>
    <w:p w14:paraId="6BD0D387" w14:textId="77777777" w:rsidR="0032773F" w:rsidRPr="0032773F" w:rsidRDefault="0032773F" w:rsidP="003A61A3">
      <w:pPr>
        <w:spacing w:after="0"/>
        <w:rPr>
          <w:rFonts w:cstheme="minorHAnsi"/>
          <w:color w:val="000000"/>
          <w:sz w:val="24"/>
          <w:szCs w:val="24"/>
        </w:rPr>
      </w:pPr>
    </w:p>
    <w:p w14:paraId="454FBFDA" w14:textId="77777777" w:rsidR="0032773F" w:rsidRPr="0032773F" w:rsidRDefault="0032773F" w:rsidP="003A61A3">
      <w:pPr>
        <w:spacing w:after="0"/>
        <w:rPr>
          <w:rFonts w:cstheme="minorHAnsi"/>
          <w:color w:val="000000"/>
          <w:sz w:val="24"/>
          <w:szCs w:val="24"/>
        </w:rPr>
      </w:pPr>
      <w:r w:rsidRPr="0032773F">
        <w:rPr>
          <w:rFonts w:cstheme="minorHAnsi"/>
          <w:color w:val="000000"/>
          <w:sz w:val="24"/>
          <w:szCs w:val="24"/>
        </w:rPr>
        <w:t xml:space="preserve">Regular contact is to be kept with the referring school or agency concerning progress of the learner and other matters that may arise. </w:t>
      </w:r>
    </w:p>
    <w:p w14:paraId="1F7FF7EC" w14:textId="77777777" w:rsidR="0032773F" w:rsidRDefault="0032773F" w:rsidP="003A61A3">
      <w:pPr>
        <w:rPr>
          <w:rFonts w:ascii="Calibri" w:hAnsi="Calibri"/>
          <w:sz w:val="28"/>
          <w:szCs w:val="28"/>
        </w:rPr>
      </w:pPr>
    </w:p>
    <w:p w14:paraId="0B56D787" w14:textId="77777777" w:rsidR="003F46DB" w:rsidRDefault="003F46DB" w:rsidP="003A61A3">
      <w:pPr>
        <w:rPr>
          <w:rFonts w:ascii="Calibri" w:hAnsi="Calibri"/>
          <w:sz w:val="28"/>
          <w:szCs w:val="28"/>
        </w:rPr>
      </w:pPr>
    </w:p>
    <w:p w14:paraId="1D9711C3" w14:textId="77777777" w:rsidR="003F46DB" w:rsidRDefault="003F46DB" w:rsidP="003A61A3">
      <w:pPr>
        <w:rPr>
          <w:rFonts w:ascii="Calibri" w:hAnsi="Calibri"/>
          <w:sz w:val="28"/>
          <w:szCs w:val="28"/>
        </w:rPr>
      </w:pPr>
    </w:p>
    <w:p w14:paraId="479136C3" w14:textId="77777777" w:rsidR="003F46DB" w:rsidRDefault="003F46DB" w:rsidP="003A61A3">
      <w:pPr>
        <w:rPr>
          <w:rFonts w:ascii="Calibri" w:hAnsi="Calibri"/>
          <w:sz w:val="28"/>
          <w:szCs w:val="28"/>
        </w:rPr>
      </w:pPr>
    </w:p>
    <w:p w14:paraId="28EEB746" w14:textId="77777777" w:rsidR="003F46DB" w:rsidRDefault="003F46DB" w:rsidP="003A61A3">
      <w:pPr>
        <w:rPr>
          <w:rFonts w:ascii="Calibri" w:hAnsi="Calibri"/>
          <w:sz w:val="28"/>
          <w:szCs w:val="28"/>
        </w:rPr>
      </w:pPr>
    </w:p>
    <w:p w14:paraId="4887E441" w14:textId="77777777" w:rsidR="00532C29" w:rsidRDefault="00532C29" w:rsidP="003A61A3">
      <w:pPr>
        <w:rPr>
          <w:rFonts w:ascii="Calibri" w:hAnsi="Calibri"/>
          <w:sz w:val="28"/>
          <w:szCs w:val="28"/>
        </w:rPr>
      </w:pPr>
    </w:p>
    <w:p w14:paraId="575D6F74" w14:textId="77777777" w:rsidR="005D368E" w:rsidRDefault="005D368E" w:rsidP="003A61A3">
      <w:pPr>
        <w:rPr>
          <w:rFonts w:ascii="Calibri" w:hAnsi="Calibri"/>
          <w:sz w:val="28"/>
          <w:szCs w:val="28"/>
        </w:rPr>
      </w:pPr>
    </w:p>
    <w:tbl>
      <w:tblPr>
        <w:tblStyle w:val="GridTable1Light-Accent51"/>
        <w:tblW w:w="0" w:type="auto"/>
        <w:tblLook w:val="04A0" w:firstRow="1" w:lastRow="0" w:firstColumn="1" w:lastColumn="0" w:noHBand="0" w:noVBand="1"/>
      </w:tblPr>
      <w:tblGrid>
        <w:gridCol w:w="9016"/>
      </w:tblGrid>
      <w:tr w:rsidR="00532C29" w:rsidRPr="00143736" w14:paraId="06BE36F0" w14:textId="77777777" w:rsidTr="00473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333B587B" w14:textId="77777777" w:rsidR="00532C29" w:rsidRPr="001B6E7C" w:rsidRDefault="00532C29" w:rsidP="00532C29">
            <w:pPr>
              <w:pStyle w:val="ListParagraph"/>
              <w:numPr>
                <w:ilvl w:val="0"/>
                <w:numId w:val="1"/>
              </w:numPr>
              <w:rPr>
                <w:rFonts w:cstheme="minorHAnsi"/>
                <w:b w:val="0"/>
                <w:sz w:val="28"/>
                <w:szCs w:val="28"/>
              </w:rPr>
            </w:pPr>
            <w:r>
              <w:rPr>
                <w:rFonts w:cstheme="minorHAnsi"/>
                <w:sz w:val="28"/>
                <w:szCs w:val="28"/>
              </w:rPr>
              <w:lastRenderedPageBreak/>
              <w:t>ADMISSIONS</w:t>
            </w:r>
          </w:p>
        </w:tc>
      </w:tr>
    </w:tbl>
    <w:p w14:paraId="4A4E36E8" w14:textId="77777777" w:rsidR="00532C29" w:rsidRPr="001B6E7C" w:rsidRDefault="00532C29" w:rsidP="00532C29">
      <w:pPr>
        <w:pStyle w:val="NormalWeb"/>
        <w:spacing w:before="0" w:beforeAutospacing="0" w:after="0" w:afterAutospacing="0"/>
        <w:rPr>
          <w:rFonts w:asciiTheme="minorHAnsi" w:hAnsiTheme="minorHAnsi" w:cstheme="minorHAnsi"/>
        </w:rPr>
      </w:pPr>
    </w:p>
    <w:p w14:paraId="359D3215" w14:textId="4A879784"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At</w:t>
      </w:r>
      <w:r>
        <w:rPr>
          <w:rFonts w:eastAsia="Times New Roman" w:cstheme="minorHAnsi"/>
          <w:sz w:val="24"/>
          <w:szCs w:val="24"/>
          <w:lang w:eastAsia="en-GB"/>
        </w:rPr>
        <w:t xml:space="preserve"> EdStart </w:t>
      </w:r>
      <w:r w:rsidRPr="000D79EE">
        <w:rPr>
          <w:rFonts w:eastAsia="Times New Roman" w:cstheme="minorHAnsi"/>
          <w:sz w:val="24"/>
          <w:szCs w:val="24"/>
          <w:lang w:eastAsia="en-GB"/>
        </w:rPr>
        <w:t xml:space="preserve">we seek to ensure that all young people who are admitted to the school will thrive in a supportive environment and will be able to benefit from the rounded education provided and be happy within the school community. </w:t>
      </w:r>
      <w:r>
        <w:rPr>
          <w:rFonts w:eastAsia="Times New Roman" w:cstheme="minorHAnsi"/>
          <w:sz w:val="24"/>
          <w:szCs w:val="24"/>
          <w:lang w:eastAsia="en-GB"/>
        </w:rPr>
        <w:t xml:space="preserve"> </w:t>
      </w:r>
      <w:r w:rsidRPr="000D79EE">
        <w:rPr>
          <w:rFonts w:eastAsia="Times New Roman" w:cstheme="minorHAnsi"/>
          <w:sz w:val="24"/>
          <w:szCs w:val="24"/>
          <w:lang w:eastAsia="en-GB"/>
        </w:rPr>
        <w:t xml:space="preserve">We recognise our duty to embrace diversity and to work to overcome prejudice. We do not discriminate on grounds of diversity, gender, </w:t>
      </w:r>
      <w:r w:rsidR="00784D83" w:rsidRPr="000D79EE">
        <w:rPr>
          <w:rFonts w:eastAsia="Times New Roman" w:cstheme="minorHAnsi"/>
          <w:sz w:val="24"/>
          <w:szCs w:val="24"/>
          <w:lang w:eastAsia="en-GB"/>
        </w:rPr>
        <w:t>race,</w:t>
      </w:r>
      <w:r w:rsidRPr="000D79EE">
        <w:rPr>
          <w:rFonts w:eastAsia="Times New Roman" w:cstheme="minorHAnsi"/>
          <w:sz w:val="24"/>
          <w:szCs w:val="24"/>
          <w:lang w:eastAsia="en-GB"/>
        </w:rPr>
        <w:t xml:space="preserve"> or religion. </w:t>
      </w:r>
    </w:p>
    <w:p w14:paraId="6A971443"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 </w:t>
      </w:r>
    </w:p>
    <w:p w14:paraId="40F136DD" w14:textId="77777777" w:rsidR="00532C29" w:rsidRPr="00C60CAF"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At the point of admission to </w:t>
      </w:r>
      <w:r>
        <w:rPr>
          <w:rFonts w:eastAsia="Times New Roman" w:cstheme="minorHAnsi"/>
          <w:sz w:val="24"/>
          <w:szCs w:val="24"/>
          <w:lang w:eastAsia="en-GB"/>
        </w:rPr>
        <w:t xml:space="preserve">EdStart </w:t>
      </w:r>
      <w:r w:rsidRPr="000D79EE">
        <w:rPr>
          <w:rFonts w:eastAsia="Times New Roman" w:cstheme="minorHAnsi"/>
          <w:sz w:val="24"/>
          <w:szCs w:val="24"/>
          <w:lang w:eastAsia="en-GB"/>
        </w:rPr>
        <w:t xml:space="preserve">it is made clear to all prospective students and their parents that they are expected to co-operate with the teaching and support staff and to promote the greater good of the whole community.  We also wish to establish a full partnership with parents </w:t>
      </w:r>
      <w:proofErr w:type="gramStart"/>
      <w:r w:rsidRPr="000D79EE">
        <w:rPr>
          <w:rFonts w:eastAsia="Times New Roman" w:cstheme="minorHAnsi"/>
          <w:sz w:val="24"/>
          <w:szCs w:val="24"/>
          <w:lang w:eastAsia="en-GB"/>
        </w:rPr>
        <w:t>in order to</w:t>
      </w:r>
      <w:proofErr w:type="gramEnd"/>
      <w:r w:rsidRPr="000D79EE">
        <w:rPr>
          <w:rFonts w:eastAsia="Times New Roman" w:cstheme="minorHAnsi"/>
          <w:sz w:val="24"/>
          <w:szCs w:val="24"/>
          <w:lang w:eastAsia="en-GB"/>
        </w:rPr>
        <w:t xml:space="preserve"> promote the interests of the student body.  This partnership must be based upon mutual honesty and respect.  We have the right to expect full disclosure of any learning support assessment or identified need, or medical condition or disability, which could require specialist treatment, </w:t>
      </w:r>
      <w:proofErr w:type="gramStart"/>
      <w:r w:rsidRPr="000D79EE">
        <w:rPr>
          <w:rFonts w:eastAsia="Times New Roman" w:cstheme="minorHAnsi"/>
          <w:sz w:val="24"/>
          <w:szCs w:val="24"/>
          <w:lang w:eastAsia="en-GB"/>
        </w:rPr>
        <w:t>support</w:t>
      </w:r>
      <w:proofErr w:type="gramEnd"/>
      <w:r w:rsidRPr="000D79EE">
        <w:rPr>
          <w:rFonts w:eastAsia="Times New Roman" w:cstheme="minorHAnsi"/>
          <w:sz w:val="24"/>
          <w:szCs w:val="24"/>
          <w:lang w:eastAsia="en-GB"/>
        </w:rPr>
        <w:t xml:space="preserve"> or equipment, and any behavioural or disciplinary issues known to parents at the point of application, and thereafter.  This information is essential to assist with admissions. </w:t>
      </w:r>
    </w:p>
    <w:p w14:paraId="00D2A50A" w14:textId="77777777" w:rsidR="00532C29" w:rsidRDefault="00532C29" w:rsidP="00532C29">
      <w:pPr>
        <w:spacing w:after="0"/>
        <w:ind w:left="360"/>
        <w:rPr>
          <w:rFonts w:eastAsia="Times New Roman" w:cstheme="minorHAnsi"/>
          <w:b/>
          <w:sz w:val="24"/>
          <w:szCs w:val="24"/>
          <w:lang w:eastAsia="en-GB"/>
        </w:rPr>
      </w:pPr>
    </w:p>
    <w:tbl>
      <w:tblPr>
        <w:tblStyle w:val="GridTable1Light-Accent51"/>
        <w:tblW w:w="0" w:type="auto"/>
        <w:tblLook w:val="04A0" w:firstRow="1" w:lastRow="0" w:firstColumn="1" w:lastColumn="0" w:noHBand="0" w:noVBand="1"/>
      </w:tblPr>
      <w:tblGrid>
        <w:gridCol w:w="9016"/>
      </w:tblGrid>
      <w:tr w:rsidR="00532C29" w:rsidRPr="00143736" w14:paraId="4E9E5C3E" w14:textId="77777777" w:rsidTr="00473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2C122190" w14:textId="77777777" w:rsidR="00532C29" w:rsidRPr="001B6E7C" w:rsidRDefault="00532C29" w:rsidP="00532C29">
            <w:pPr>
              <w:pStyle w:val="ListParagraph"/>
              <w:numPr>
                <w:ilvl w:val="0"/>
                <w:numId w:val="1"/>
              </w:numPr>
              <w:rPr>
                <w:rFonts w:cstheme="minorHAnsi"/>
                <w:b w:val="0"/>
                <w:sz w:val="28"/>
                <w:szCs w:val="28"/>
              </w:rPr>
            </w:pPr>
            <w:r>
              <w:rPr>
                <w:rFonts w:cstheme="minorHAnsi"/>
                <w:sz w:val="28"/>
                <w:szCs w:val="28"/>
              </w:rPr>
              <w:t xml:space="preserve">PROCESS FOR ADMISSIONS </w:t>
            </w:r>
          </w:p>
        </w:tc>
      </w:tr>
    </w:tbl>
    <w:p w14:paraId="2C458E14" w14:textId="77777777" w:rsidR="00532C29" w:rsidRPr="001B6E7C" w:rsidRDefault="00532C29" w:rsidP="00532C29">
      <w:pPr>
        <w:pStyle w:val="NormalWeb"/>
        <w:spacing w:before="0" w:beforeAutospacing="0" w:after="0" w:afterAutospacing="0"/>
        <w:rPr>
          <w:rFonts w:asciiTheme="minorHAnsi" w:hAnsiTheme="minorHAnsi" w:cstheme="minorHAnsi"/>
        </w:rPr>
      </w:pPr>
    </w:p>
    <w:p w14:paraId="03686571"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For all referrals </w:t>
      </w:r>
      <w:r>
        <w:rPr>
          <w:rFonts w:eastAsia="Times New Roman" w:cstheme="minorHAnsi"/>
          <w:sz w:val="24"/>
          <w:szCs w:val="24"/>
          <w:lang w:eastAsia="en-GB"/>
        </w:rPr>
        <w:t xml:space="preserve">EdStart </w:t>
      </w:r>
      <w:r w:rsidRPr="000D79EE">
        <w:rPr>
          <w:rFonts w:eastAsia="Times New Roman" w:cstheme="minorHAnsi"/>
          <w:sz w:val="24"/>
          <w:szCs w:val="24"/>
          <w:lang w:eastAsia="en-GB"/>
        </w:rPr>
        <w:t xml:space="preserve">adopt a collaborative approach with home schools, the Local Education Authority or Pupil Referral Units, to ensure that the needs of individual young people can be met. </w:t>
      </w:r>
    </w:p>
    <w:p w14:paraId="2BD114F9" w14:textId="204C7B0A"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 </w:t>
      </w:r>
    </w:p>
    <w:p w14:paraId="0F1E5A38" w14:textId="77777777" w:rsidR="00532C29" w:rsidRPr="000D79EE" w:rsidRDefault="00532C29" w:rsidP="00532C29">
      <w:pPr>
        <w:spacing w:after="0"/>
        <w:ind w:left="360"/>
        <w:rPr>
          <w:rFonts w:eastAsia="Times New Roman" w:cstheme="minorHAnsi"/>
          <w:b/>
          <w:sz w:val="24"/>
          <w:szCs w:val="24"/>
          <w:lang w:eastAsia="en-GB"/>
        </w:rPr>
      </w:pPr>
      <w:r w:rsidRPr="000D79EE">
        <w:rPr>
          <w:rFonts w:eastAsia="Times New Roman" w:cstheme="minorHAnsi"/>
          <w:b/>
          <w:sz w:val="24"/>
          <w:szCs w:val="24"/>
          <w:lang w:eastAsia="en-GB"/>
        </w:rPr>
        <w:t xml:space="preserve">To ensure a consistent approach to this the process will be as follows: </w:t>
      </w:r>
    </w:p>
    <w:p w14:paraId="1A77CDF1"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 </w:t>
      </w:r>
    </w:p>
    <w:p w14:paraId="012467DA" w14:textId="4334182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1. Following initial enquiry from a School/PRU/L</w:t>
      </w:r>
      <w:r w:rsidR="005D3AB5">
        <w:rPr>
          <w:rFonts w:eastAsia="Times New Roman" w:cstheme="minorHAnsi"/>
          <w:sz w:val="24"/>
          <w:szCs w:val="24"/>
          <w:lang w:eastAsia="en-GB"/>
        </w:rPr>
        <w:t xml:space="preserve">ocal Authority </w:t>
      </w:r>
      <w:r w:rsidRPr="000D79EE">
        <w:rPr>
          <w:rFonts w:eastAsia="Times New Roman" w:cstheme="minorHAnsi"/>
          <w:sz w:val="24"/>
          <w:szCs w:val="24"/>
          <w:lang w:eastAsia="en-GB"/>
        </w:rPr>
        <w:t xml:space="preserve">it will first be established that a placement vacancy exists </w:t>
      </w:r>
      <w:r w:rsidR="005D3AB5">
        <w:rPr>
          <w:rFonts w:eastAsia="Times New Roman" w:cstheme="minorHAnsi"/>
          <w:sz w:val="24"/>
          <w:szCs w:val="24"/>
          <w:lang w:eastAsia="en-GB"/>
        </w:rPr>
        <w:t>by the Referrals Panel.</w:t>
      </w:r>
    </w:p>
    <w:p w14:paraId="6CB0CCBE"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 </w:t>
      </w:r>
    </w:p>
    <w:p w14:paraId="55AB77DB"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2. Should the enquirer be unfamiliar with the work of </w:t>
      </w:r>
      <w:r>
        <w:rPr>
          <w:rFonts w:eastAsia="Times New Roman" w:cstheme="minorHAnsi"/>
          <w:sz w:val="24"/>
          <w:szCs w:val="24"/>
          <w:lang w:eastAsia="en-GB"/>
        </w:rPr>
        <w:t xml:space="preserve">EdStart </w:t>
      </w:r>
      <w:r w:rsidRPr="000D79EE">
        <w:rPr>
          <w:rFonts w:eastAsia="Times New Roman" w:cstheme="minorHAnsi"/>
          <w:sz w:val="24"/>
          <w:szCs w:val="24"/>
          <w:lang w:eastAsia="en-GB"/>
        </w:rPr>
        <w:t>further details may be provided and this should include a discussion about the young person’s situation and suitability to</w:t>
      </w:r>
      <w:r>
        <w:rPr>
          <w:rFonts w:eastAsia="Times New Roman" w:cstheme="minorHAnsi"/>
          <w:sz w:val="24"/>
          <w:szCs w:val="24"/>
          <w:lang w:eastAsia="en-GB"/>
        </w:rPr>
        <w:t xml:space="preserve"> EdStart</w:t>
      </w:r>
      <w:r w:rsidRPr="000D79EE">
        <w:rPr>
          <w:rFonts w:eastAsia="Times New Roman" w:cstheme="minorHAnsi"/>
          <w:sz w:val="24"/>
          <w:szCs w:val="24"/>
          <w:lang w:eastAsia="en-GB"/>
        </w:rPr>
        <w:t xml:space="preserve">.  </w:t>
      </w:r>
    </w:p>
    <w:p w14:paraId="2E21E20E"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 </w:t>
      </w:r>
    </w:p>
    <w:p w14:paraId="64E9F03A" w14:textId="672D0718"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3. An Initial Referral Form </w:t>
      </w:r>
      <w:r w:rsidR="005D3AB5">
        <w:rPr>
          <w:rFonts w:eastAsia="Times New Roman" w:cstheme="minorHAnsi"/>
          <w:sz w:val="24"/>
          <w:szCs w:val="24"/>
          <w:lang w:eastAsia="en-GB"/>
        </w:rPr>
        <w:t xml:space="preserve">and Pupil Risk Assessment </w:t>
      </w:r>
      <w:r w:rsidRPr="000D79EE">
        <w:rPr>
          <w:rFonts w:eastAsia="Times New Roman" w:cstheme="minorHAnsi"/>
          <w:sz w:val="24"/>
          <w:szCs w:val="24"/>
          <w:lang w:eastAsia="en-GB"/>
        </w:rPr>
        <w:t xml:space="preserve">with as much relevant detail as possible will be needed. This form will normally be completed by the organisation requesting the placement. </w:t>
      </w:r>
    </w:p>
    <w:p w14:paraId="7DB1C34C"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 </w:t>
      </w:r>
    </w:p>
    <w:p w14:paraId="279E3FD5" w14:textId="7CDC62EA"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4. Upon receipt of the completed form the</w:t>
      </w:r>
      <w:r w:rsidR="005D3AB5">
        <w:rPr>
          <w:rFonts w:eastAsia="Times New Roman" w:cstheme="minorHAnsi"/>
          <w:sz w:val="24"/>
          <w:szCs w:val="24"/>
          <w:lang w:eastAsia="en-GB"/>
        </w:rPr>
        <w:t xml:space="preserve"> Referrals</w:t>
      </w:r>
      <w:r>
        <w:rPr>
          <w:rFonts w:eastAsia="Times New Roman" w:cstheme="minorHAnsi"/>
          <w:sz w:val="24"/>
          <w:szCs w:val="24"/>
          <w:lang w:eastAsia="en-GB"/>
        </w:rPr>
        <w:t xml:space="preserve"> Manager </w:t>
      </w:r>
      <w:r w:rsidRPr="000D79EE">
        <w:rPr>
          <w:rFonts w:eastAsia="Times New Roman" w:cstheme="minorHAnsi"/>
          <w:sz w:val="24"/>
          <w:szCs w:val="24"/>
          <w:lang w:eastAsia="en-GB"/>
        </w:rPr>
        <w:t xml:space="preserve">will </w:t>
      </w:r>
      <w:proofErr w:type="gramStart"/>
      <w:r w:rsidRPr="000D79EE">
        <w:rPr>
          <w:rFonts w:eastAsia="Times New Roman" w:cstheme="minorHAnsi"/>
          <w:sz w:val="24"/>
          <w:szCs w:val="24"/>
          <w:lang w:eastAsia="en-GB"/>
        </w:rPr>
        <w:t>make contact with</w:t>
      </w:r>
      <w:proofErr w:type="gramEnd"/>
      <w:r w:rsidRPr="000D79EE">
        <w:rPr>
          <w:rFonts w:eastAsia="Times New Roman" w:cstheme="minorHAnsi"/>
          <w:sz w:val="24"/>
          <w:szCs w:val="24"/>
          <w:lang w:eastAsia="en-GB"/>
        </w:rPr>
        <w:t xml:space="preserve"> the </w:t>
      </w:r>
      <w:r w:rsidR="005D3AB5">
        <w:rPr>
          <w:rFonts w:eastAsia="Times New Roman" w:cstheme="minorHAnsi"/>
          <w:sz w:val="24"/>
          <w:szCs w:val="24"/>
          <w:lang w:eastAsia="en-GB"/>
        </w:rPr>
        <w:t>school/agency</w:t>
      </w:r>
      <w:r w:rsidRPr="000D79EE">
        <w:rPr>
          <w:rFonts w:eastAsia="Times New Roman" w:cstheme="minorHAnsi"/>
          <w:sz w:val="24"/>
          <w:szCs w:val="24"/>
          <w:lang w:eastAsia="en-GB"/>
        </w:rPr>
        <w:t xml:space="preserve">, usually by telephone, to arrange a referral meeting.  </w:t>
      </w:r>
    </w:p>
    <w:p w14:paraId="7D03A6B7"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 </w:t>
      </w:r>
    </w:p>
    <w:p w14:paraId="2D2CB32E" w14:textId="456EED79" w:rsidR="00532C29"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5. The referral meeting will normally be attended by </w:t>
      </w:r>
      <w:r>
        <w:rPr>
          <w:rFonts w:eastAsia="Times New Roman" w:cstheme="minorHAnsi"/>
          <w:sz w:val="24"/>
          <w:szCs w:val="24"/>
          <w:lang w:eastAsia="en-GB"/>
        </w:rPr>
        <w:t xml:space="preserve">the Centre Manager, Referring </w:t>
      </w:r>
      <w:proofErr w:type="gramStart"/>
      <w:r>
        <w:rPr>
          <w:rFonts w:eastAsia="Times New Roman" w:cstheme="minorHAnsi"/>
          <w:sz w:val="24"/>
          <w:szCs w:val="24"/>
          <w:lang w:eastAsia="en-GB"/>
        </w:rPr>
        <w:t>Agency</w:t>
      </w:r>
      <w:proofErr w:type="gramEnd"/>
      <w:r>
        <w:rPr>
          <w:rFonts w:eastAsia="Times New Roman" w:cstheme="minorHAnsi"/>
          <w:sz w:val="24"/>
          <w:szCs w:val="24"/>
          <w:lang w:eastAsia="en-GB"/>
        </w:rPr>
        <w:t xml:space="preserve"> and a parent/carer</w:t>
      </w:r>
      <w:r w:rsidRPr="000D79EE">
        <w:rPr>
          <w:rFonts w:eastAsia="Times New Roman" w:cstheme="minorHAnsi"/>
          <w:sz w:val="24"/>
          <w:szCs w:val="24"/>
          <w:lang w:eastAsia="en-GB"/>
        </w:rPr>
        <w:t xml:space="preserve">. </w:t>
      </w:r>
      <w:r w:rsidR="005D3AB5">
        <w:rPr>
          <w:rFonts w:eastAsia="Times New Roman" w:cstheme="minorHAnsi"/>
          <w:sz w:val="24"/>
          <w:szCs w:val="24"/>
          <w:lang w:eastAsia="en-GB"/>
        </w:rPr>
        <w:t>If appropriate our SENCO or Specialist Support Staff will attend.</w:t>
      </w:r>
    </w:p>
    <w:p w14:paraId="5A3B1F0A" w14:textId="77777777" w:rsidR="00532C29" w:rsidRPr="000D79EE" w:rsidRDefault="00532C29" w:rsidP="00532C29">
      <w:pPr>
        <w:spacing w:after="0"/>
        <w:ind w:left="360"/>
        <w:rPr>
          <w:rFonts w:eastAsia="Times New Roman" w:cstheme="minorHAnsi"/>
          <w:sz w:val="24"/>
          <w:szCs w:val="24"/>
          <w:lang w:eastAsia="en-GB"/>
        </w:rPr>
      </w:pPr>
    </w:p>
    <w:p w14:paraId="26E2C062"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6. The meeting provides an opportunity to outline the aims of </w:t>
      </w:r>
      <w:r>
        <w:rPr>
          <w:rFonts w:eastAsia="Times New Roman" w:cstheme="minorHAnsi"/>
          <w:sz w:val="24"/>
          <w:szCs w:val="24"/>
          <w:lang w:eastAsia="en-GB"/>
        </w:rPr>
        <w:t xml:space="preserve">EdStart </w:t>
      </w:r>
      <w:r w:rsidRPr="000D79EE">
        <w:rPr>
          <w:rFonts w:eastAsia="Times New Roman" w:cstheme="minorHAnsi"/>
          <w:sz w:val="24"/>
          <w:szCs w:val="24"/>
          <w:lang w:eastAsia="en-GB"/>
        </w:rPr>
        <w:t xml:space="preserve">and review the school’s induction pack. This pack contains important information about health &amp; safety, safeguarding, equal opportunities, </w:t>
      </w:r>
      <w:proofErr w:type="gramStart"/>
      <w:r w:rsidRPr="000D79EE">
        <w:rPr>
          <w:rFonts w:eastAsia="Times New Roman" w:cstheme="minorHAnsi"/>
          <w:sz w:val="24"/>
          <w:szCs w:val="24"/>
          <w:lang w:eastAsia="en-GB"/>
        </w:rPr>
        <w:t>complaints</w:t>
      </w:r>
      <w:proofErr w:type="gramEnd"/>
      <w:r w:rsidRPr="000D79EE">
        <w:rPr>
          <w:rFonts w:eastAsia="Times New Roman" w:cstheme="minorHAnsi"/>
          <w:sz w:val="24"/>
          <w:szCs w:val="24"/>
          <w:lang w:eastAsia="en-GB"/>
        </w:rPr>
        <w:t xml:space="preserve"> and other policies together with details about the school’s expectations from young people attending the school. </w:t>
      </w:r>
    </w:p>
    <w:p w14:paraId="63FB2CD1"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 </w:t>
      </w:r>
    </w:p>
    <w:p w14:paraId="35F33720"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7.  A copy of the induction pack is provided for parent/carer.  </w:t>
      </w:r>
    </w:p>
    <w:p w14:paraId="4E96A15D"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 </w:t>
      </w:r>
    </w:p>
    <w:p w14:paraId="03B9455B"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8. The young person is the key person in this meeting. They are asked their thoughts and feelings about coming to the school. </w:t>
      </w:r>
      <w:r>
        <w:rPr>
          <w:rFonts w:eastAsia="Times New Roman" w:cstheme="minorHAnsi"/>
          <w:sz w:val="24"/>
          <w:szCs w:val="24"/>
          <w:lang w:eastAsia="en-GB"/>
        </w:rPr>
        <w:t xml:space="preserve"> </w:t>
      </w:r>
      <w:r w:rsidRPr="000D79EE">
        <w:rPr>
          <w:rFonts w:eastAsia="Times New Roman" w:cstheme="minorHAnsi"/>
          <w:sz w:val="24"/>
          <w:szCs w:val="24"/>
          <w:lang w:eastAsia="en-GB"/>
        </w:rPr>
        <w:t xml:space="preserve">This allows the young person to discuss the reasons they believe they are being referred to </w:t>
      </w:r>
      <w:r>
        <w:rPr>
          <w:rFonts w:eastAsia="Times New Roman" w:cstheme="minorHAnsi"/>
          <w:sz w:val="24"/>
          <w:szCs w:val="24"/>
          <w:lang w:eastAsia="en-GB"/>
        </w:rPr>
        <w:t>EdStart</w:t>
      </w:r>
      <w:r w:rsidRPr="000D79EE">
        <w:rPr>
          <w:rFonts w:eastAsia="Times New Roman" w:cstheme="minorHAnsi"/>
          <w:sz w:val="24"/>
          <w:szCs w:val="24"/>
          <w:lang w:eastAsia="en-GB"/>
        </w:rPr>
        <w:t>, how they believe by attending the</w:t>
      </w:r>
      <w:r>
        <w:rPr>
          <w:rFonts w:eastAsia="Times New Roman" w:cstheme="minorHAnsi"/>
          <w:sz w:val="24"/>
          <w:szCs w:val="24"/>
          <w:lang w:eastAsia="en-GB"/>
        </w:rPr>
        <w:t xml:space="preserve"> centre </w:t>
      </w:r>
      <w:r w:rsidRPr="000D79EE">
        <w:rPr>
          <w:rFonts w:eastAsia="Times New Roman" w:cstheme="minorHAnsi"/>
          <w:sz w:val="24"/>
          <w:szCs w:val="24"/>
          <w:lang w:eastAsia="en-GB"/>
        </w:rPr>
        <w:t xml:space="preserve">they can try to overcome any barriers to their education. </w:t>
      </w:r>
    </w:p>
    <w:p w14:paraId="75A65BFE"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 </w:t>
      </w:r>
    </w:p>
    <w:p w14:paraId="0A24185C"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9. Input from parents/carers is also considered valuable to the process as is any further information from the school representative. </w:t>
      </w:r>
    </w:p>
    <w:p w14:paraId="25C74948"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 </w:t>
      </w:r>
    </w:p>
    <w:p w14:paraId="69530A0C"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10. The ‘student contract’ </w:t>
      </w:r>
      <w:r>
        <w:rPr>
          <w:rFonts w:eastAsia="Times New Roman" w:cstheme="minorHAnsi"/>
          <w:sz w:val="24"/>
          <w:szCs w:val="24"/>
          <w:lang w:eastAsia="en-GB"/>
        </w:rPr>
        <w:t>is</w:t>
      </w:r>
      <w:r w:rsidRPr="000D79EE">
        <w:rPr>
          <w:rFonts w:eastAsia="Times New Roman" w:cstheme="minorHAnsi"/>
          <w:sz w:val="24"/>
          <w:szCs w:val="24"/>
          <w:lang w:eastAsia="en-GB"/>
        </w:rPr>
        <w:t xml:space="preserve"> discussed to ensure that prospective admissions are clear on the content and agree to adhere fully. A signed statement of this agreement is retained and placed on file.  </w:t>
      </w:r>
    </w:p>
    <w:p w14:paraId="31B565B9"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 </w:t>
      </w:r>
    </w:p>
    <w:p w14:paraId="170C2B3F"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11. It is good practice to include a tour of the facilities as part of the meeting to help the young person begin familiarisation and allow the chance to ask any questions.  </w:t>
      </w:r>
    </w:p>
    <w:p w14:paraId="48E3DCD6" w14:textId="77777777" w:rsidR="00532C29" w:rsidRPr="000D79EE" w:rsidRDefault="00532C29" w:rsidP="00532C29">
      <w:pPr>
        <w:spacing w:after="0"/>
        <w:ind w:left="360"/>
        <w:rPr>
          <w:rFonts w:eastAsia="Times New Roman" w:cstheme="minorHAnsi"/>
          <w:sz w:val="24"/>
          <w:szCs w:val="24"/>
          <w:lang w:eastAsia="en-GB"/>
        </w:rPr>
      </w:pPr>
      <w:r>
        <w:rPr>
          <w:rFonts w:eastAsia="Times New Roman" w:cstheme="minorHAnsi"/>
          <w:sz w:val="24"/>
          <w:szCs w:val="24"/>
          <w:lang w:eastAsia="en-GB"/>
        </w:rPr>
        <w:t xml:space="preserve"> </w:t>
      </w:r>
    </w:p>
    <w:p w14:paraId="689BEC7C" w14:textId="77777777" w:rsidR="00532C29"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12. Subject to the placement being agreed by all parties a commencement date will be confirmed, in writing, at the earliest opportunity.</w:t>
      </w:r>
    </w:p>
    <w:p w14:paraId="40CC3CB8" w14:textId="77777777" w:rsidR="00532C29" w:rsidRDefault="00532C29" w:rsidP="00532C29">
      <w:pPr>
        <w:spacing w:after="0"/>
        <w:ind w:left="360"/>
        <w:rPr>
          <w:rFonts w:eastAsia="Times New Roman" w:cstheme="minorHAnsi"/>
          <w:sz w:val="24"/>
          <w:szCs w:val="24"/>
          <w:lang w:eastAsia="en-GB"/>
        </w:rPr>
      </w:pPr>
    </w:p>
    <w:tbl>
      <w:tblPr>
        <w:tblStyle w:val="GridTable1Light-Accent51"/>
        <w:tblW w:w="0" w:type="auto"/>
        <w:tblLook w:val="04A0" w:firstRow="1" w:lastRow="0" w:firstColumn="1" w:lastColumn="0" w:noHBand="0" w:noVBand="1"/>
      </w:tblPr>
      <w:tblGrid>
        <w:gridCol w:w="9016"/>
      </w:tblGrid>
      <w:tr w:rsidR="00532C29" w:rsidRPr="00143736" w14:paraId="659F4215" w14:textId="77777777" w:rsidTr="00473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7642395B" w14:textId="77777777" w:rsidR="00532C29" w:rsidRPr="001B6E7C" w:rsidRDefault="00532C29" w:rsidP="00532C29">
            <w:pPr>
              <w:pStyle w:val="ListParagraph"/>
              <w:numPr>
                <w:ilvl w:val="0"/>
                <w:numId w:val="1"/>
              </w:numPr>
              <w:rPr>
                <w:rFonts w:cstheme="minorHAnsi"/>
                <w:b w:val="0"/>
                <w:sz w:val="28"/>
                <w:szCs w:val="28"/>
              </w:rPr>
            </w:pPr>
            <w:r>
              <w:rPr>
                <w:rFonts w:cstheme="minorHAnsi"/>
                <w:sz w:val="28"/>
                <w:szCs w:val="28"/>
              </w:rPr>
              <w:t xml:space="preserve">ADMISSIONS REGISTER </w:t>
            </w:r>
          </w:p>
        </w:tc>
      </w:tr>
    </w:tbl>
    <w:p w14:paraId="29B6FA5E" w14:textId="77777777" w:rsidR="00532C29" w:rsidRPr="001B6E7C" w:rsidRDefault="00532C29" w:rsidP="00532C29">
      <w:pPr>
        <w:pStyle w:val="NormalWeb"/>
        <w:spacing w:before="0" w:beforeAutospacing="0" w:after="0" w:afterAutospacing="0"/>
        <w:rPr>
          <w:rFonts w:asciiTheme="minorHAnsi" w:hAnsiTheme="minorHAnsi" w:cstheme="minorHAnsi"/>
        </w:rPr>
      </w:pPr>
    </w:p>
    <w:p w14:paraId="6BAFC0B6" w14:textId="1B8D18F6" w:rsidR="00532C29"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In accordance with the Education (Pupil Registration) Regulations </w:t>
      </w:r>
      <w:r w:rsidR="00122F7A">
        <w:rPr>
          <w:rFonts w:eastAsia="Times New Roman" w:cstheme="minorHAnsi"/>
          <w:sz w:val="24"/>
          <w:szCs w:val="24"/>
          <w:lang w:eastAsia="en-GB"/>
        </w:rPr>
        <w:t>2006</w:t>
      </w:r>
      <w:r w:rsidRPr="000D79EE">
        <w:rPr>
          <w:rFonts w:eastAsia="Times New Roman" w:cstheme="minorHAnsi"/>
          <w:sz w:val="24"/>
          <w:szCs w:val="24"/>
          <w:lang w:eastAsia="en-GB"/>
        </w:rPr>
        <w:t xml:space="preserve"> </w:t>
      </w:r>
      <w:r>
        <w:rPr>
          <w:rFonts w:eastAsia="Times New Roman" w:cstheme="minorHAnsi"/>
          <w:sz w:val="24"/>
          <w:szCs w:val="24"/>
          <w:lang w:eastAsia="en-GB"/>
        </w:rPr>
        <w:t xml:space="preserve">EdStart </w:t>
      </w:r>
      <w:r w:rsidRPr="000D79EE">
        <w:rPr>
          <w:rFonts w:eastAsia="Times New Roman" w:cstheme="minorHAnsi"/>
          <w:sz w:val="24"/>
          <w:szCs w:val="24"/>
          <w:lang w:eastAsia="en-GB"/>
        </w:rPr>
        <w:t>will maintain an admission register containing an index in alphabetical order of all the students at the school and shall also contain the following particulars in respect of every such student</w:t>
      </w:r>
      <w:r>
        <w:rPr>
          <w:rFonts w:eastAsia="Times New Roman" w:cstheme="minorHAnsi"/>
          <w:sz w:val="24"/>
          <w:szCs w:val="24"/>
          <w:lang w:eastAsia="en-GB"/>
        </w:rPr>
        <w:t>:</w:t>
      </w:r>
    </w:p>
    <w:p w14:paraId="5080FAC8" w14:textId="77777777" w:rsidR="00532C29" w:rsidRDefault="00532C29" w:rsidP="00532C29">
      <w:pPr>
        <w:spacing w:after="0"/>
        <w:ind w:left="360"/>
        <w:rPr>
          <w:rFonts w:eastAsia="Times New Roman" w:cstheme="minorHAnsi"/>
          <w:sz w:val="24"/>
          <w:szCs w:val="24"/>
          <w:lang w:eastAsia="en-GB"/>
        </w:rPr>
      </w:pPr>
    </w:p>
    <w:p w14:paraId="7F219D73" w14:textId="77777777" w:rsidR="00532C29" w:rsidRDefault="00532C29" w:rsidP="00532C29">
      <w:pPr>
        <w:pStyle w:val="ListParagraph"/>
        <w:numPr>
          <w:ilvl w:val="0"/>
          <w:numId w:val="44"/>
        </w:numPr>
        <w:spacing w:after="0"/>
        <w:rPr>
          <w:rFonts w:eastAsia="Times New Roman" w:cstheme="minorHAnsi"/>
          <w:sz w:val="24"/>
          <w:szCs w:val="24"/>
          <w:lang w:eastAsia="en-GB"/>
        </w:rPr>
      </w:pPr>
      <w:r>
        <w:rPr>
          <w:rFonts w:eastAsia="Times New Roman" w:cstheme="minorHAnsi"/>
          <w:sz w:val="24"/>
          <w:szCs w:val="24"/>
          <w:lang w:eastAsia="en-GB"/>
        </w:rPr>
        <w:t>Name in full</w:t>
      </w:r>
      <w:r w:rsidRPr="000D79EE">
        <w:rPr>
          <w:rFonts w:eastAsia="Times New Roman" w:cstheme="minorHAnsi"/>
          <w:sz w:val="24"/>
          <w:szCs w:val="24"/>
          <w:lang w:eastAsia="en-GB"/>
        </w:rPr>
        <w:t xml:space="preserve"> </w:t>
      </w:r>
    </w:p>
    <w:p w14:paraId="47A239F7" w14:textId="77777777" w:rsidR="00532C29" w:rsidRDefault="00532C29" w:rsidP="00532C29">
      <w:pPr>
        <w:pStyle w:val="ListParagraph"/>
        <w:numPr>
          <w:ilvl w:val="0"/>
          <w:numId w:val="44"/>
        </w:numPr>
        <w:spacing w:after="0"/>
        <w:rPr>
          <w:rFonts w:eastAsia="Times New Roman" w:cstheme="minorHAnsi"/>
          <w:sz w:val="24"/>
          <w:szCs w:val="24"/>
          <w:lang w:eastAsia="en-GB"/>
        </w:rPr>
      </w:pPr>
      <w:r>
        <w:rPr>
          <w:rFonts w:eastAsia="Times New Roman" w:cstheme="minorHAnsi"/>
          <w:sz w:val="24"/>
          <w:szCs w:val="24"/>
          <w:lang w:eastAsia="en-GB"/>
        </w:rPr>
        <w:t>Sex</w:t>
      </w:r>
    </w:p>
    <w:p w14:paraId="359695DE" w14:textId="77777777" w:rsidR="00532C29" w:rsidRDefault="00532C29" w:rsidP="00532C29">
      <w:pPr>
        <w:pStyle w:val="ListParagraph"/>
        <w:numPr>
          <w:ilvl w:val="0"/>
          <w:numId w:val="44"/>
        </w:numPr>
        <w:spacing w:after="0"/>
        <w:rPr>
          <w:rFonts w:eastAsia="Times New Roman" w:cstheme="minorHAnsi"/>
          <w:sz w:val="24"/>
          <w:szCs w:val="24"/>
          <w:lang w:eastAsia="en-GB"/>
        </w:rPr>
      </w:pPr>
      <w:r>
        <w:rPr>
          <w:rFonts w:eastAsia="Times New Roman" w:cstheme="minorHAnsi"/>
          <w:sz w:val="24"/>
          <w:szCs w:val="24"/>
          <w:lang w:eastAsia="en-GB"/>
        </w:rPr>
        <w:t>T</w:t>
      </w:r>
      <w:r w:rsidRPr="000D79EE">
        <w:rPr>
          <w:rFonts w:eastAsia="Times New Roman" w:cstheme="minorHAnsi"/>
          <w:sz w:val="24"/>
          <w:szCs w:val="24"/>
          <w:lang w:eastAsia="en-GB"/>
        </w:rPr>
        <w:t>he name and address of every person known to the proprietor of the school to be a parent of the pupil and, against the entry on the register of the particulars of any parent with whom the pupil normally resides, an indication of that fact and a note of at least one telephone number at which the parent ca</w:t>
      </w:r>
      <w:r>
        <w:rPr>
          <w:rFonts w:eastAsia="Times New Roman" w:cstheme="minorHAnsi"/>
          <w:sz w:val="24"/>
          <w:szCs w:val="24"/>
          <w:lang w:eastAsia="en-GB"/>
        </w:rPr>
        <w:t>n be contacted in an emergency</w:t>
      </w:r>
    </w:p>
    <w:p w14:paraId="6D003705" w14:textId="77777777" w:rsidR="00532C29" w:rsidRDefault="00532C29" w:rsidP="00532C29">
      <w:pPr>
        <w:pStyle w:val="ListParagraph"/>
        <w:numPr>
          <w:ilvl w:val="0"/>
          <w:numId w:val="44"/>
        </w:numPr>
        <w:spacing w:after="0"/>
        <w:rPr>
          <w:rFonts w:eastAsia="Times New Roman" w:cstheme="minorHAnsi"/>
          <w:sz w:val="24"/>
          <w:szCs w:val="24"/>
          <w:lang w:eastAsia="en-GB"/>
        </w:rPr>
      </w:pPr>
      <w:r>
        <w:rPr>
          <w:rFonts w:eastAsia="Times New Roman" w:cstheme="minorHAnsi"/>
          <w:sz w:val="24"/>
          <w:szCs w:val="24"/>
          <w:lang w:eastAsia="en-GB"/>
        </w:rPr>
        <w:t>Day, month and year of birth</w:t>
      </w:r>
    </w:p>
    <w:p w14:paraId="3C4B9EB2" w14:textId="77777777" w:rsidR="00532C29" w:rsidRDefault="00532C29" w:rsidP="00532C29">
      <w:pPr>
        <w:pStyle w:val="ListParagraph"/>
        <w:numPr>
          <w:ilvl w:val="0"/>
          <w:numId w:val="44"/>
        </w:numPr>
        <w:spacing w:after="0"/>
        <w:rPr>
          <w:rFonts w:eastAsia="Times New Roman" w:cstheme="minorHAnsi"/>
          <w:sz w:val="24"/>
          <w:szCs w:val="24"/>
          <w:lang w:eastAsia="en-GB"/>
        </w:rPr>
      </w:pPr>
      <w:r>
        <w:rPr>
          <w:rFonts w:eastAsia="Times New Roman" w:cstheme="minorHAnsi"/>
          <w:sz w:val="24"/>
          <w:szCs w:val="24"/>
          <w:lang w:eastAsia="en-GB"/>
        </w:rPr>
        <w:t>D</w:t>
      </w:r>
      <w:r w:rsidRPr="00BC6E67">
        <w:rPr>
          <w:rFonts w:eastAsia="Times New Roman" w:cstheme="minorHAnsi"/>
          <w:sz w:val="24"/>
          <w:szCs w:val="24"/>
          <w:lang w:eastAsia="en-GB"/>
        </w:rPr>
        <w:t>ay, month and year of admission</w:t>
      </w:r>
      <w:r>
        <w:rPr>
          <w:rFonts w:eastAsia="Times New Roman" w:cstheme="minorHAnsi"/>
          <w:sz w:val="24"/>
          <w:szCs w:val="24"/>
          <w:lang w:eastAsia="en-GB"/>
        </w:rPr>
        <w:t xml:space="preserve"> or re-admission to the school</w:t>
      </w:r>
    </w:p>
    <w:p w14:paraId="642299FF" w14:textId="43345AA4" w:rsidR="00532C29" w:rsidRDefault="00532C29" w:rsidP="00532C29">
      <w:pPr>
        <w:pStyle w:val="ListParagraph"/>
        <w:numPr>
          <w:ilvl w:val="0"/>
          <w:numId w:val="44"/>
        </w:numPr>
        <w:spacing w:after="0"/>
        <w:rPr>
          <w:rFonts w:eastAsia="Times New Roman" w:cstheme="minorHAnsi"/>
          <w:sz w:val="24"/>
          <w:szCs w:val="24"/>
          <w:lang w:eastAsia="en-GB"/>
        </w:rPr>
      </w:pPr>
      <w:r>
        <w:rPr>
          <w:rFonts w:eastAsia="Times New Roman" w:cstheme="minorHAnsi"/>
          <w:sz w:val="24"/>
          <w:szCs w:val="24"/>
          <w:lang w:eastAsia="en-GB"/>
        </w:rPr>
        <w:t>N</w:t>
      </w:r>
      <w:r w:rsidRPr="00BC6E67">
        <w:rPr>
          <w:rFonts w:eastAsia="Times New Roman" w:cstheme="minorHAnsi"/>
          <w:sz w:val="24"/>
          <w:szCs w:val="24"/>
          <w:lang w:eastAsia="en-GB"/>
        </w:rPr>
        <w:t xml:space="preserve">ame and address of the school last attended, if any. </w:t>
      </w:r>
    </w:p>
    <w:p w14:paraId="4A8622A4" w14:textId="294B7863" w:rsidR="00E01413" w:rsidRDefault="00E01413" w:rsidP="00532C29">
      <w:pPr>
        <w:pStyle w:val="ListParagraph"/>
        <w:numPr>
          <w:ilvl w:val="0"/>
          <w:numId w:val="44"/>
        </w:numPr>
        <w:spacing w:after="0"/>
        <w:rPr>
          <w:rFonts w:eastAsia="Times New Roman" w:cstheme="minorHAnsi"/>
          <w:sz w:val="24"/>
          <w:szCs w:val="24"/>
          <w:lang w:eastAsia="en-GB"/>
        </w:rPr>
      </w:pPr>
      <w:r>
        <w:rPr>
          <w:rFonts w:eastAsia="Times New Roman" w:cstheme="minorHAnsi"/>
          <w:sz w:val="24"/>
          <w:szCs w:val="24"/>
          <w:lang w:eastAsia="en-GB"/>
        </w:rPr>
        <w:lastRenderedPageBreak/>
        <w:t>Name and address of onward destination or any shared provider</w:t>
      </w:r>
    </w:p>
    <w:p w14:paraId="4F562A22" w14:textId="77777777" w:rsidR="00E01413" w:rsidRPr="00532C29" w:rsidRDefault="00E01413" w:rsidP="00E01413">
      <w:pPr>
        <w:pStyle w:val="ListParagraph"/>
        <w:spacing w:after="0"/>
        <w:ind w:left="1080"/>
        <w:rPr>
          <w:rFonts w:eastAsia="Times New Roman" w:cstheme="minorHAnsi"/>
          <w:sz w:val="24"/>
          <w:szCs w:val="24"/>
          <w:lang w:eastAsia="en-GB"/>
        </w:rPr>
      </w:pPr>
    </w:p>
    <w:p w14:paraId="1E7AC7F2" w14:textId="77777777" w:rsidR="00532C29" w:rsidRPr="000D79EE" w:rsidRDefault="00532C29" w:rsidP="00532C29">
      <w:pPr>
        <w:spacing w:after="0"/>
        <w:ind w:left="360"/>
        <w:rPr>
          <w:rFonts w:eastAsia="Times New Roman" w:cstheme="minorHAnsi"/>
          <w:sz w:val="24"/>
          <w:szCs w:val="24"/>
          <w:lang w:eastAsia="en-GB"/>
        </w:rPr>
      </w:pPr>
      <w:r w:rsidRPr="000D79EE">
        <w:rPr>
          <w:rFonts w:eastAsia="Times New Roman" w:cstheme="minorHAnsi"/>
          <w:sz w:val="24"/>
          <w:szCs w:val="24"/>
          <w:lang w:eastAsia="en-GB"/>
        </w:rPr>
        <w:t xml:space="preserve">The school management team will ensure that the admissions register is kept up to date with the inclusion of any new referrals. </w:t>
      </w:r>
    </w:p>
    <w:p w14:paraId="67554F80" w14:textId="77777777" w:rsidR="00532C29" w:rsidRDefault="00532C29" w:rsidP="00532C29">
      <w:pPr>
        <w:spacing w:after="0"/>
        <w:ind w:left="360"/>
        <w:rPr>
          <w:rFonts w:eastAsia="Times New Roman" w:cstheme="minorHAnsi"/>
          <w:b/>
          <w:sz w:val="24"/>
          <w:szCs w:val="24"/>
          <w:lang w:eastAsia="en-GB"/>
        </w:rPr>
      </w:pPr>
    </w:p>
    <w:p w14:paraId="4D3654E4" w14:textId="77777777" w:rsidR="00532C29" w:rsidRDefault="00532C29" w:rsidP="003A61A3">
      <w:pPr>
        <w:rPr>
          <w:rFonts w:ascii="Calibri" w:hAnsi="Calibri"/>
          <w:sz w:val="28"/>
          <w:szCs w:val="28"/>
        </w:rPr>
      </w:pPr>
    </w:p>
    <w:p w14:paraId="38639F72" w14:textId="77777777" w:rsidR="00532C29" w:rsidRDefault="00532C29" w:rsidP="003A61A3">
      <w:pPr>
        <w:rPr>
          <w:rFonts w:ascii="Calibri" w:hAnsi="Calibri"/>
          <w:sz w:val="28"/>
          <w:szCs w:val="28"/>
        </w:rPr>
      </w:pPr>
    </w:p>
    <w:p w14:paraId="60E8B27A" w14:textId="77777777" w:rsidR="00532C29" w:rsidRDefault="00532C29" w:rsidP="003A61A3">
      <w:pPr>
        <w:rPr>
          <w:rFonts w:ascii="Calibri" w:hAnsi="Calibri"/>
          <w:sz w:val="28"/>
          <w:szCs w:val="28"/>
        </w:rPr>
      </w:pPr>
    </w:p>
    <w:p w14:paraId="5A13D8E5" w14:textId="77777777" w:rsidR="00532C29" w:rsidRDefault="00532C29" w:rsidP="003A61A3">
      <w:pPr>
        <w:rPr>
          <w:rFonts w:ascii="Calibri" w:hAnsi="Calibri"/>
          <w:sz w:val="28"/>
          <w:szCs w:val="28"/>
        </w:rPr>
      </w:pPr>
    </w:p>
    <w:p w14:paraId="4674BC95" w14:textId="77777777" w:rsidR="00532C29" w:rsidRDefault="00532C29" w:rsidP="003A61A3">
      <w:pPr>
        <w:rPr>
          <w:rFonts w:ascii="Calibri" w:hAnsi="Calibri"/>
          <w:sz w:val="28"/>
          <w:szCs w:val="28"/>
        </w:rPr>
      </w:pPr>
    </w:p>
    <w:p w14:paraId="07736F7B" w14:textId="77777777" w:rsidR="00532C29" w:rsidRDefault="00532C29" w:rsidP="003A61A3">
      <w:pPr>
        <w:rPr>
          <w:rFonts w:ascii="Calibri" w:hAnsi="Calibri"/>
          <w:sz w:val="28"/>
          <w:szCs w:val="28"/>
        </w:rPr>
      </w:pPr>
    </w:p>
    <w:p w14:paraId="728882DE" w14:textId="77777777" w:rsidR="00532C29" w:rsidRDefault="00532C29" w:rsidP="003A61A3">
      <w:pPr>
        <w:rPr>
          <w:rFonts w:ascii="Calibri" w:hAnsi="Calibri"/>
          <w:sz w:val="28"/>
          <w:szCs w:val="28"/>
        </w:rPr>
      </w:pPr>
    </w:p>
    <w:p w14:paraId="7A117FE6" w14:textId="77777777" w:rsidR="00532C29" w:rsidRDefault="00532C29" w:rsidP="003A61A3">
      <w:pPr>
        <w:rPr>
          <w:rFonts w:ascii="Calibri" w:hAnsi="Calibri"/>
          <w:sz w:val="28"/>
          <w:szCs w:val="28"/>
        </w:rPr>
      </w:pPr>
    </w:p>
    <w:p w14:paraId="0C648123" w14:textId="77777777" w:rsidR="00532C29" w:rsidRDefault="00532C29" w:rsidP="003A61A3">
      <w:pPr>
        <w:rPr>
          <w:rFonts w:ascii="Calibri" w:hAnsi="Calibri"/>
          <w:sz w:val="28"/>
          <w:szCs w:val="28"/>
        </w:rPr>
      </w:pPr>
    </w:p>
    <w:p w14:paraId="06BAC275" w14:textId="77777777" w:rsidR="00532C29" w:rsidRDefault="00532C29" w:rsidP="003A61A3">
      <w:pPr>
        <w:rPr>
          <w:rFonts w:ascii="Calibri" w:hAnsi="Calibri"/>
          <w:sz w:val="28"/>
          <w:szCs w:val="28"/>
        </w:rPr>
      </w:pPr>
    </w:p>
    <w:p w14:paraId="727C88EC" w14:textId="77777777" w:rsidR="00532C29" w:rsidRDefault="00532C29" w:rsidP="003A61A3">
      <w:pPr>
        <w:rPr>
          <w:rFonts w:ascii="Calibri" w:hAnsi="Calibri"/>
          <w:sz w:val="28"/>
          <w:szCs w:val="28"/>
        </w:rPr>
      </w:pPr>
    </w:p>
    <w:p w14:paraId="2E9DB860" w14:textId="77777777" w:rsidR="00532C29" w:rsidRDefault="00532C29" w:rsidP="003A61A3">
      <w:pPr>
        <w:rPr>
          <w:rFonts w:ascii="Calibri" w:hAnsi="Calibri"/>
          <w:sz w:val="28"/>
          <w:szCs w:val="28"/>
        </w:rPr>
      </w:pPr>
    </w:p>
    <w:p w14:paraId="73B7116A" w14:textId="77777777" w:rsidR="00532C29" w:rsidRDefault="00532C29" w:rsidP="003A61A3">
      <w:pPr>
        <w:rPr>
          <w:rFonts w:ascii="Calibri" w:hAnsi="Calibri"/>
          <w:sz w:val="28"/>
          <w:szCs w:val="28"/>
        </w:rPr>
      </w:pPr>
    </w:p>
    <w:p w14:paraId="512407D8" w14:textId="77777777" w:rsidR="00532C29" w:rsidRDefault="00532C29" w:rsidP="003A61A3">
      <w:pPr>
        <w:rPr>
          <w:rFonts w:ascii="Calibri" w:hAnsi="Calibri"/>
          <w:sz w:val="28"/>
          <w:szCs w:val="28"/>
        </w:rPr>
      </w:pPr>
    </w:p>
    <w:p w14:paraId="6E4DB884" w14:textId="77777777" w:rsidR="00532C29" w:rsidRDefault="00532C29" w:rsidP="003A61A3">
      <w:pPr>
        <w:rPr>
          <w:rFonts w:ascii="Calibri" w:hAnsi="Calibri"/>
          <w:sz w:val="28"/>
          <w:szCs w:val="28"/>
        </w:rPr>
      </w:pPr>
    </w:p>
    <w:p w14:paraId="36AC91FF" w14:textId="77777777" w:rsidR="00532C29" w:rsidRDefault="00532C29" w:rsidP="003A61A3">
      <w:pPr>
        <w:rPr>
          <w:rFonts w:ascii="Calibri" w:hAnsi="Calibri"/>
          <w:sz w:val="28"/>
          <w:szCs w:val="28"/>
        </w:rPr>
      </w:pPr>
    </w:p>
    <w:p w14:paraId="1569A8CC" w14:textId="77777777" w:rsidR="00532C29" w:rsidRDefault="00532C29" w:rsidP="003A61A3">
      <w:pPr>
        <w:rPr>
          <w:rFonts w:ascii="Calibri" w:hAnsi="Calibri"/>
          <w:sz w:val="28"/>
          <w:szCs w:val="28"/>
        </w:rPr>
      </w:pPr>
    </w:p>
    <w:p w14:paraId="117D66B0" w14:textId="77777777" w:rsidR="00532C29" w:rsidRDefault="00532C29" w:rsidP="003A61A3">
      <w:pPr>
        <w:rPr>
          <w:rFonts w:ascii="Calibri" w:hAnsi="Calibri"/>
          <w:sz w:val="28"/>
          <w:szCs w:val="28"/>
        </w:rPr>
      </w:pPr>
    </w:p>
    <w:p w14:paraId="12D939D8" w14:textId="77777777" w:rsidR="00532C29" w:rsidRDefault="00532C29" w:rsidP="003A61A3">
      <w:pPr>
        <w:rPr>
          <w:rFonts w:ascii="Calibri" w:hAnsi="Calibri"/>
          <w:sz w:val="28"/>
          <w:szCs w:val="28"/>
        </w:rPr>
      </w:pPr>
    </w:p>
    <w:p w14:paraId="328CC705" w14:textId="77777777" w:rsidR="00532C29" w:rsidRDefault="00532C29" w:rsidP="003A61A3">
      <w:pPr>
        <w:rPr>
          <w:rFonts w:ascii="Calibri" w:hAnsi="Calibri"/>
          <w:sz w:val="28"/>
          <w:szCs w:val="28"/>
        </w:rPr>
      </w:pPr>
    </w:p>
    <w:p w14:paraId="5DBBE375" w14:textId="77777777" w:rsidR="00532C29" w:rsidRDefault="00532C29" w:rsidP="003A61A3">
      <w:pPr>
        <w:rPr>
          <w:rFonts w:ascii="Calibri" w:hAnsi="Calibri"/>
          <w:sz w:val="28"/>
          <w:szCs w:val="28"/>
        </w:rPr>
      </w:pPr>
    </w:p>
    <w:p w14:paraId="231C7E88" w14:textId="77777777" w:rsidR="00532C29" w:rsidRDefault="00532C29" w:rsidP="003A61A3">
      <w:pPr>
        <w:rPr>
          <w:rFonts w:ascii="Calibri" w:hAnsi="Calibri"/>
          <w:sz w:val="28"/>
          <w:szCs w:val="28"/>
        </w:rPr>
      </w:pPr>
    </w:p>
    <w:p w14:paraId="51B421DE" w14:textId="77777777" w:rsidR="000804FA" w:rsidRDefault="000804FA" w:rsidP="003A61A3">
      <w:pPr>
        <w:spacing w:after="0"/>
        <w:rPr>
          <w:rFonts w:cstheme="minorHAnsi"/>
          <w:sz w:val="24"/>
          <w:szCs w:val="24"/>
        </w:rPr>
      </w:pPr>
    </w:p>
    <w:p w14:paraId="1852973A" w14:textId="756AA93D" w:rsidR="00A87E06" w:rsidRPr="00A87E06" w:rsidRDefault="00532C29" w:rsidP="003A61A3">
      <w:pPr>
        <w:spacing w:after="0"/>
        <w:rPr>
          <w:rFonts w:cstheme="minorHAnsi"/>
          <w:b/>
          <w:sz w:val="24"/>
          <w:szCs w:val="24"/>
        </w:rPr>
      </w:pPr>
      <w:r>
        <w:rPr>
          <w:rFonts w:cstheme="minorHAnsi"/>
          <w:b/>
          <w:sz w:val="24"/>
          <w:szCs w:val="24"/>
        </w:rPr>
        <w:t>Version</w:t>
      </w:r>
      <w:r w:rsidR="00C42D48">
        <w:rPr>
          <w:rFonts w:cstheme="minorHAnsi"/>
          <w:b/>
          <w:sz w:val="24"/>
          <w:szCs w:val="24"/>
        </w:rPr>
        <w:t>:</w:t>
      </w:r>
      <w:r>
        <w:rPr>
          <w:rFonts w:cstheme="minorHAnsi"/>
          <w:b/>
          <w:sz w:val="24"/>
          <w:szCs w:val="24"/>
        </w:rPr>
        <w:t xml:space="preserve"> </w:t>
      </w:r>
      <w:r w:rsidR="00581DE7">
        <w:rPr>
          <w:rFonts w:cstheme="minorHAnsi"/>
          <w:b/>
          <w:sz w:val="24"/>
          <w:szCs w:val="24"/>
        </w:rPr>
        <w:t>October 202</w:t>
      </w:r>
      <w:r w:rsidR="0074495E">
        <w:rPr>
          <w:rFonts w:cstheme="minorHAnsi"/>
          <w:b/>
          <w:sz w:val="24"/>
          <w:szCs w:val="24"/>
        </w:rPr>
        <w:t>1</w:t>
      </w:r>
    </w:p>
    <w:sectPr w:rsidR="00A87E06" w:rsidRPr="00A87E06" w:rsidSect="00323D50">
      <w:pgSz w:w="11906" w:h="16838"/>
      <w:pgMar w:top="1440" w:right="1440" w:bottom="1440" w:left="1440" w:header="708"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224D" w14:textId="77777777" w:rsidR="003D6ED5" w:rsidRDefault="003D6ED5" w:rsidP="00323D50">
      <w:pPr>
        <w:spacing w:after="0" w:line="240" w:lineRule="auto"/>
      </w:pPr>
      <w:r>
        <w:separator/>
      </w:r>
    </w:p>
  </w:endnote>
  <w:endnote w:type="continuationSeparator" w:id="0">
    <w:p w14:paraId="4F9FB9D6" w14:textId="77777777" w:rsidR="003D6ED5" w:rsidRDefault="003D6ED5" w:rsidP="0032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B6A8" w14:textId="77777777" w:rsidR="003D6ED5" w:rsidRDefault="003D6ED5" w:rsidP="00323D50">
      <w:pPr>
        <w:spacing w:after="0" w:line="240" w:lineRule="auto"/>
      </w:pPr>
      <w:r>
        <w:separator/>
      </w:r>
    </w:p>
  </w:footnote>
  <w:footnote w:type="continuationSeparator" w:id="0">
    <w:p w14:paraId="71CB56E3" w14:textId="77777777" w:rsidR="003D6ED5" w:rsidRDefault="003D6ED5" w:rsidP="00323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A43"/>
    <w:multiLevelType w:val="hybridMultilevel"/>
    <w:tmpl w:val="6708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86215"/>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B3213"/>
    <w:multiLevelType w:val="hybridMultilevel"/>
    <w:tmpl w:val="86EE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5133B"/>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C135E"/>
    <w:multiLevelType w:val="hybridMultilevel"/>
    <w:tmpl w:val="ED86B548"/>
    <w:lvl w:ilvl="0" w:tplc="D522237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D139C"/>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3499A"/>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33949"/>
    <w:multiLevelType w:val="hybridMultilevel"/>
    <w:tmpl w:val="8196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1B42F8"/>
    <w:multiLevelType w:val="hybridMultilevel"/>
    <w:tmpl w:val="E866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0071B"/>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F73651"/>
    <w:multiLevelType w:val="hybridMultilevel"/>
    <w:tmpl w:val="2046A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FF4D36"/>
    <w:multiLevelType w:val="hybridMultilevel"/>
    <w:tmpl w:val="AE5A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35624"/>
    <w:multiLevelType w:val="hybridMultilevel"/>
    <w:tmpl w:val="C13C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F147B"/>
    <w:multiLevelType w:val="hybridMultilevel"/>
    <w:tmpl w:val="E60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827D9"/>
    <w:multiLevelType w:val="hybridMultilevel"/>
    <w:tmpl w:val="3DDC8092"/>
    <w:lvl w:ilvl="0" w:tplc="D522237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943F5"/>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0F66A9"/>
    <w:multiLevelType w:val="hybridMultilevel"/>
    <w:tmpl w:val="3B104F14"/>
    <w:lvl w:ilvl="0" w:tplc="D5222378">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F02815"/>
    <w:multiLevelType w:val="hybridMultilevel"/>
    <w:tmpl w:val="AE0E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93257"/>
    <w:multiLevelType w:val="hybridMultilevel"/>
    <w:tmpl w:val="C71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F84EC4"/>
    <w:multiLevelType w:val="hybridMultilevel"/>
    <w:tmpl w:val="19C8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202DD"/>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141738"/>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FA175F"/>
    <w:multiLevelType w:val="hybridMultilevel"/>
    <w:tmpl w:val="A634B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AA3EA7"/>
    <w:multiLevelType w:val="hybridMultilevel"/>
    <w:tmpl w:val="819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23829"/>
    <w:multiLevelType w:val="hybridMultilevel"/>
    <w:tmpl w:val="82A4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6649E"/>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82F4C"/>
    <w:multiLevelType w:val="hybridMultilevel"/>
    <w:tmpl w:val="485A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1575E"/>
    <w:multiLevelType w:val="hybridMultilevel"/>
    <w:tmpl w:val="75361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F32588"/>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537921"/>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93785D"/>
    <w:multiLevelType w:val="hybridMultilevel"/>
    <w:tmpl w:val="938A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A01C7"/>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3F1AFF"/>
    <w:multiLevelType w:val="hybridMultilevel"/>
    <w:tmpl w:val="D9567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EB5DD2"/>
    <w:multiLevelType w:val="hybridMultilevel"/>
    <w:tmpl w:val="02665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8700F"/>
    <w:multiLevelType w:val="hybridMultilevel"/>
    <w:tmpl w:val="8AC8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3F160C"/>
    <w:multiLevelType w:val="hybridMultilevel"/>
    <w:tmpl w:val="135C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922DB"/>
    <w:multiLevelType w:val="hybridMultilevel"/>
    <w:tmpl w:val="A3BC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4435E"/>
    <w:multiLevelType w:val="hybridMultilevel"/>
    <w:tmpl w:val="844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E0601D"/>
    <w:multiLevelType w:val="hybridMultilevel"/>
    <w:tmpl w:val="28DA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606CD"/>
    <w:multiLevelType w:val="hybridMultilevel"/>
    <w:tmpl w:val="CCDCB8AE"/>
    <w:lvl w:ilvl="0" w:tplc="00EE09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13BD0"/>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0A48B0"/>
    <w:multiLevelType w:val="hybridMultilevel"/>
    <w:tmpl w:val="BD7C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334AD"/>
    <w:multiLevelType w:val="hybridMultilevel"/>
    <w:tmpl w:val="03EA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C713E"/>
    <w:multiLevelType w:val="hybridMultilevel"/>
    <w:tmpl w:val="6122F2FE"/>
    <w:lvl w:ilvl="0" w:tplc="D5222378">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15"/>
  </w:num>
  <w:num w:numId="3">
    <w:abstractNumId w:val="9"/>
  </w:num>
  <w:num w:numId="4">
    <w:abstractNumId w:val="0"/>
  </w:num>
  <w:num w:numId="5">
    <w:abstractNumId w:val="39"/>
  </w:num>
  <w:num w:numId="6">
    <w:abstractNumId w:val="10"/>
  </w:num>
  <w:num w:numId="7">
    <w:abstractNumId w:val="38"/>
  </w:num>
  <w:num w:numId="8">
    <w:abstractNumId w:val="30"/>
  </w:num>
  <w:num w:numId="9">
    <w:abstractNumId w:val="22"/>
  </w:num>
  <w:num w:numId="10">
    <w:abstractNumId w:val="35"/>
  </w:num>
  <w:num w:numId="11">
    <w:abstractNumId w:val="14"/>
  </w:num>
  <w:num w:numId="12">
    <w:abstractNumId w:val="16"/>
  </w:num>
  <w:num w:numId="13">
    <w:abstractNumId w:val="32"/>
  </w:num>
  <w:num w:numId="14">
    <w:abstractNumId w:val="19"/>
  </w:num>
  <w:num w:numId="15">
    <w:abstractNumId w:val="24"/>
  </w:num>
  <w:num w:numId="16">
    <w:abstractNumId w:val="17"/>
  </w:num>
  <w:num w:numId="17">
    <w:abstractNumId w:val="26"/>
  </w:num>
  <w:num w:numId="18">
    <w:abstractNumId w:val="23"/>
  </w:num>
  <w:num w:numId="19">
    <w:abstractNumId w:val="34"/>
  </w:num>
  <w:num w:numId="20">
    <w:abstractNumId w:val="42"/>
  </w:num>
  <w:num w:numId="21">
    <w:abstractNumId w:val="41"/>
  </w:num>
  <w:num w:numId="22">
    <w:abstractNumId w:val="4"/>
  </w:num>
  <w:num w:numId="23">
    <w:abstractNumId w:val="43"/>
  </w:num>
  <w:num w:numId="24">
    <w:abstractNumId w:val="7"/>
  </w:num>
  <w:num w:numId="25">
    <w:abstractNumId w:val="2"/>
  </w:num>
  <w:num w:numId="26">
    <w:abstractNumId w:val="18"/>
  </w:num>
  <w:num w:numId="27">
    <w:abstractNumId w:val="8"/>
  </w:num>
  <w:num w:numId="28">
    <w:abstractNumId w:val="12"/>
  </w:num>
  <w:num w:numId="29">
    <w:abstractNumId w:val="36"/>
  </w:num>
  <w:num w:numId="30">
    <w:abstractNumId w:val="13"/>
  </w:num>
  <w:num w:numId="31">
    <w:abstractNumId w:val="37"/>
  </w:num>
  <w:num w:numId="32">
    <w:abstractNumId w:val="3"/>
  </w:num>
  <w:num w:numId="33">
    <w:abstractNumId w:val="20"/>
  </w:num>
  <w:num w:numId="34">
    <w:abstractNumId w:val="31"/>
  </w:num>
  <w:num w:numId="35">
    <w:abstractNumId w:val="11"/>
  </w:num>
  <w:num w:numId="36">
    <w:abstractNumId w:val="21"/>
  </w:num>
  <w:num w:numId="37">
    <w:abstractNumId w:val="25"/>
  </w:num>
  <w:num w:numId="38">
    <w:abstractNumId w:val="5"/>
  </w:num>
  <w:num w:numId="39">
    <w:abstractNumId w:val="29"/>
  </w:num>
  <w:num w:numId="40">
    <w:abstractNumId w:val="28"/>
  </w:num>
  <w:num w:numId="41">
    <w:abstractNumId w:val="1"/>
  </w:num>
  <w:num w:numId="42">
    <w:abstractNumId w:val="6"/>
  </w:num>
  <w:num w:numId="43">
    <w:abstractNumId w:val="3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D50"/>
    <w:rsid w:val="00024F2B"/>
    <w:rsid w:val="000804FA"/>
    <w:rsid w:val="000948F5"/>
    <w:rsid w:val="0010020F"/>
    <w:rsid w:val="00122F7A"/>
    <w:rsid w:val="00133D25"/>
    <w:rsid w:val="0013483C"/>
    <w:rsid w:val="00143736"/>
    <w:rsid w:val="0017115F"/>
    <w:rsid w:val="00186682"/>
    <w:rsid w:val="001A3DAB"/>
    <w:rsid w:val="001D1F96"/>
    <w:rsid w:val="001E51C3"/>
    <w:rsid w:val="001F31B3"/>
    <w:rsid w:val="002B075D"/>
    <w:rsid w:val="00323D50"/>
    <w:rsid w:val="0032773F"/>
    <w:rsid w:val="00364730"/>
    <w:rsid w:val="003A61A3"/>
    <w:rsid w:val="003B2541"/>
    <w:rsid w:val="003D6ED5"/>
    <w:rsid w:val="003F46DB"/>
    <w:rsid w:val="003F691D"/>
    <w:rsid w:val="00407362"/>
    <w:rsid w:val="00431D62"/>
    <w:rsid w:val="004571BD"/>
    <w:rsid w:val="00463D2B"/>
    <w:rsid w:val="00532C29"/>
    <w:rsid w:val="00537425"/>
    <w:rsid w:val="00560E3C"/>
    <w:rsid w:val="00581DE7"/>
    <w:rsid w:val="00585658"/>
    <w:rsid w:val="005D368E"/>
    <w:rsid w:val="005D3AB5"/>
    <w:rsid w:val="00640462"/>
    <w:rsid w:val="0074495E"/>
    <w:rsid w:val="007578E6"/>
    <w:rsid w:val="007579B7"/>
    <w:rsid w:val="00784D83"/>
    <w:rsid w:val="007C3AD8"/>
    <w:rsid w:val="00813A72"/>
    <w:rsid w:val="008300B0"/>
    <w:rsid w:val="00835D74"/>
    <w:rsid w:val="00845616"/>
    <w:rsid w:val="008744C2"/>
    <w:rsid w:val="009033D0"/>
    <w:rsid w:val="00925F00"/>
    <w:rsid w:val="009B2262"/>
    <w:rsid w:val="009C7D69"/>
    <w:rsid w:val="009D13EF"/>
    <w:rsid w:val="00A87E06"/>
    <w:rsid w:val="00AC5A69"/>
    <w:rsid w:val="00AE4A7D"/>
    <w:rsid w:val="00AE6A25"/>
    <w:rsid w:val="00B762D7"/>
    <w:rsid w:val="00BE01DE"/>
    <w:rsid w:val="00C12C4E"/>
    <w:rsid w:val="00C30EF5"/>
    <w:rsid w:val="00C42D48"/>
    <w:rsid w:val="00CC623D"/>
    <w:rsid w:val="00E01413"/>
    <w:rsid w:val="00E444D5"/>
    <w:rsid w:val="00E45CF9"/>
    <w:rsid w:val="00E51E7D"/>
    <w:rsid w:val="00EA1319"/>
    <w:rsid w:val="00F02A0A"/>
    <w:rsid w:val="00F272A8"/>
    <w:rsid w:val="00F61576"/>
    <w:rsid w:val="00F91A42"/>
    <w:rsid w:val="00F926F9"/>
    <w:rsid w:val="00FD0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344BCD"/>
  <w15:docId w15:val="{D592B3FA-3319-47EE-913F-6464600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3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D5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2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D50"/>
  </w:style>
  <w:style w:type="paragraph" w:styleId="Footer">
    <w:name w:val="footer"/>
    <w:basedOn w:val="Normal"/>
    <w:link w:val="FooterChar"/>
    <w:uiPriority w:val="99"/>
    <w:unhideWhenUsed/>
    <w:rsid w:val="0032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D50"/>
  </w:style>
  <w:style w:type="paragraph" w:styleId="ListParagraph">
    <w:name w:val="List Paragraph"/>
    <w:basedOn w:val="Normal"/>
    <w:uiPriority w:val="34"/>
    <w:qFormat/>
    <w:rsid w:val="00CC623D"/>
    <w:pPr>
      <w:ind w:left="720"/>
      <w:contextualSpacing/>
    </w:pPr>
  </w:style>
  <w:style w:type="paragraph" w:customStyle="1" w:styleId="Default">
    <w:name w:val="Default"/>
    <w:rsid w:val="00FD0B2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E4A7D"/>
  </w:style>
  <w:style w:type="table" w:customStyle="1" w:styleId="GridTable1Light-Accent11">
    <w:name w:val="Grid Table 1 Light - Accent 11"/>
    <w:basedOn w:val="TableNormal"/>
    <w:uiPriority w:val="46"/>
    <w:rsid w:val="00AC5A6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C5A6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AC5A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rsid w:val="00F02A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admin central</cp:lastModifiedBy>
  <cp:revision>22</cp:revision>
  <dcterms:created xsi:type="dcterms:W3CDTF">2018-04-26T11:11:00Z</dcterms:created>
  <dcterms:modified xsi:type="dcterms:W3CDTF">2021-10-05T10:35:00Z</dcterms:modified>
</cp:coreProperties>
</file>